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FORM 8-K</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13 or 15(d) of the Securities Exchange Act of 1934</w:t>
      </w:r>
    </w:p>
    <w:p>
      <w:pPr>
        <w:spacing w:after="0" w:line="22" w:lineRule="exact"/>
        <w:rPr>
          <w:sz w:val="24"/>
          <w:szCs w:val="24"/>
          <w:color w:val="auto"/>
        </w:rPr>
      </w:pPr>
    </w:p>
    <w:p>
      <w:pPr>
        <w:ind w:left="900"/>
        <w:spacing w:after="0"/>
        <w:tabs>
          <w:tab w:leader="none" w:pos="7860" w:val="left"/>
        </w:tabs>
        <w:rPr>
          <w:sz w:val="20"/>
          <w:szCs w:val="20"/>
          <w:color w:val="auto"/>
        </w:rPr>
      </w:pPr>
      <w:r>
        <w:rPr>
          <w:rFonts w:ascii="Times New Roman" w:cs="Times New Roman" w:eastAsia="Times New Roman" w:hAnsi="Times New Roman"/>
          <w:sz w:val="20"/>
          <w:szCs w:val="20"/>
          <w:color w:val="auto"/>
        </w:rPr>
        <w:t>Date of Report (Date of earliest event reported):</w:t>
      </w:r>
      <w:r>
        <w:rPr>
          <w:sz w:val="20"/>
          <w:szCs w:val="20"/>
          <w:color w:val="auto"/>
        </w:rPr>
        <w:tab/>
      </w:r>
      <w:r>
        <w:rPr>
          <w:rFonts w:ascii="Times New Roman" w:cs="Times New Roman" w:eastAsia="Times New Roman" w:hAnsi="Times New Roman"/>
          <w:sz w:val="19"/>
          <w:szCs w:val="19"/>
          <w:color w:val="auto"/>
        </w:rPr>
        <w:t>April 30, 2026</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DISTRIBUTION SOLUTIONS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27940</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120" w:type="dxa"/>
            <w:vAlign w:val="bottom"/>
          </w:tcPr>
          <w:p>
            <w:pPr>
              <w:spacing w:after="0"/>
              <w:rPr>
                <w:sz w:val="21"/>
                <w:szCs w:val="21"/>
                <w:color w:val="auto"/>
              </w:rPr>
            </w:pPr>
          </w:p>
        </w:tc>
        <w:tc>
          <w:tcPr>
            <w:tcW w:w="2820" w:type="dxa"/>
            <w:vAlign w:val="bottom"/>
          </w:tcPr>
          <w:p>
            <w:pPr>
              <w:jc w:val="center"/>
              <w:ind w:left="207"/>
              <w:spacing w:after="0"/>
              <w:rPr>
                <w:sz w:val="20"/>
                <w:szCs w:val="20"/>
                <w:color w:val="auto"/>
              </w:rPr>
            </w:pPr>
            <w:r>
              <w:rPr>
                <w:rFonts w:ascii="Times New Roman" w:cs="Times New Roman" w:eastAsia="Times New Roman" w:hAnsi="Times New Roman"/>
                <w:sz w:val="20"/>
                <w:szCs w:val="20"/>
                <w:color w:val="auto"/>
                <w:w w:val="99"/>
              </w:rPr>
              <w:t>Delaware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0-10546</w:t>
            </w: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6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36-2229304</w:t>
            </w:r>
          </w:p>
        </w:tc>
        <w:tc>
          <w:tcPr>
            <w:tcW w:w="20" w:type="dxa"/>
            <w:vAlign w:val="bottom"/>
          </w:tcPr>
          <w:p>
            <w:pPr>
              <w:spacing w:after="0"/>
              <w:rPr>
                <w:sz w:val="21"/>
                <w:szCs w:val="21"/>
                <w:color w:val="auto"/>
              </w:rPr>
            </w:pPr>
          </w:p>
        </w:tc>
      </w:tr>
      <w:tr>
        <w:trPr>
          <w:trHeight w:val="178"/>
        </w:trPr>
        <w:tc>
          <w:tcPr>
            <w:tcW w:w="120" w:type="dxa"/>
            <w:vAlign w:val="bottom"/>
          </w:tcPr>
          <w:p>
            <w:pPr>
              <w:spacing w:after="0"/>
              <w:rPr>
                <w:sz w:val="15"/>
                <w:szCs w:val="15"/>
                <w:color w:val="auto"/>
              </w:rPr>
            </w:pPr>
          </w:p>
        </w:tc>
        <w:tc>
          <w:tcPr>
            <w:tcW w:w="2820" w:type="dxa"/>
            <w:vAlign w:val="bottom"/>
            <w:tcBorders>
              <w:top w:val="single" w:sz="8" w:color="auto"/>
            </w:tcBorders>
          </w:tcPr>
          <w:p>
            <w:pPr>
              <w:jc w:val="center"/>
              <w:ind w:left="227"/>
              <w:spacing w:after="0" w:line="177"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80" w:type="dxa"/>
            <w:vAlign w:val="bottom"/>
            <w:tcBorders>
              <w:top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120" w:type="dxa"/>
            <w:vAlign w:val="bottom"/>
          </w:tcPr>
          <w:p>
            <w:pPr>
              <w:spacing w:after="0"/>
              <w:rPr>
                <w:sz w:val="20"/>
                <w:szCs w:val="20"/>
                <w:color w:val="auto"/>
              </w:rPr>
            </w:pPr>
          </w:p>
        </w:tc>
        <w:tc>
          <w:tcPr>
            <w:tcW w:w="2820" w:type="dxa"/>
            <w:vAlign w:val="bottom"/>
          </w:tcPr>
          <w:p>
            <w:pPr>
              <w:jc w:val="center"/>
              <w:ind w:left="227"/>
              <w:spacing w:after="0"/>
              <w:rPr>
                <w:sz w:val="20"/>
                <w:szCs w:val="20"/>
                <w:color w:val="auto"/>
              </w:rPr>
            </w:pPr>
            <w:r>
              <w:rPr>
                <w:rFonts w:ascii="Times New Roman" w:cs="Times New Roman" w:eastAsia="Times New Roman" w:hAnsi="Times New Roman"/>
                <w:sz w:val="18"/>
                <w:szCs w:val="18"/>
                <w:color w:val="auto"/>
                <w:w w:val="99"/>
              </w:rPr>
              <w:t>incorporation)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4"/>
        </w:trPr>
        <w:tc>
          <w:tcPr>
            <w:tcW w:w="1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301 Commerce Street,</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Suite 1700,</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Fort Worth,</w:t>
            </w:r>
          </w:p>
        </w:tc>
        <w:tc>
          <w:tcPr>
            <w:tcW w:w="22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Texas</w:t>
            </w:r>
          </w:p>
        </w:tc>
        <w:tc>
          <w:tcPr>
            <w:tcW w:w="2860" w:type="dxa"/>
            <w:vAlign w:val="bottom"/>
          </w:tcPr>
          <w:p>
            <w:pPr>
              <w:jc w:val="right"/>
              <w:ind w:right="1485"/>
              <w:spacing w:after="0"/>
              <w:rPr>
                <w:sz w:val="20"/>
                <w:szCs w:val="20"/>
                <w:color w:val="auto"/>
              </w:rPr>
            </w:pPr>
            <w:r>
              <w:rPr>
                <w:rFonts w:ascii="Times New Roman" w:cs="Times New Roman" w:eastAsia="Times New Roman" w:hAnsi="Times New Roman"/>
                <w:sz w:val="20"/>
                <w:szCs w:val="20"/>
                <w:color w:val="auto"/>
              </w:rPr>
              <w:t>76102</w:t>
            </w:r>
          </w:p>
        </w:tc>
        <w:tc>
          <w:tcPr>
            <w:tcW w:w="20" w:type="dxa"/>
            <w:vAlign w:val="bottom"/>
          </w:tcPr>
          <w:p>
            <w:pPr>
              <w:spacing w:after="0"/>
              <w:rPr>
                <w:sz w:val="24"/>
                <w:szCs w:val="24"/>
                <w:color w:val="auto"/>
              </w:rPr>
            </w:pPr>
          </w:p>
        </w:tc>
      </w:tr>
      <w:tr>
        <w:trPr>
          <w:trHeight w:val="232"/>
        </w:trPr>
        <w:tc>
          <w:tcPr>
            <w:tcW w:w="120" w:type="dxa"/>
            <w:vAlign w:val="bottom"/>
            <w:tcBorders>
              <w:top w:val="single" w:sz="8" w:color="auto"/>
            </w:tcBorders>
          </w:tcPr>
          <w:p>
            <w:pPr>
              <w:spacing w:after="0"/>
              <w:rPr>
                <w:sz w:val="20"/>
                <w:szCs w:val="20"/>
                <w:color w:val="auto"/>
              </w:rPr>
            </w:pPr>
          </w:p>
        </w:tc>
        <w:tc>
          <w:tcPr>
            <w:tcW w:w="5920" w:type="dxa"/>
            <w:vAlign w:val="bottom"/>
            <w:tcBorders>
              <w:top w:val="single" w:sz="8" w:color="auto"/>
            </w:tcBorders>
            <w:gridSpan w:val="5"/>
          </w:tcPr>
          <w:p>
            <w:pPr>
              <w:jc w:val="center"/>
              <w:ind w:left="100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705"/>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508"/>
        </w:trPr>
        <w:tc>
          <w:tcPr>
            <w:tcW w:w="120" w:type="dxa"/>
            <w:vAlign w:val="bottom"/>
          </w:tcPr>
          <w:p>
            <w:pPr>
              <w:spacing w:after="0"/>
              <w:rPr>
                <w:sz w:val="24"/>
                <w:szCs w:val="24"/>
                <w:color w:val="auto"/>
              </w:rPr>
            </w:pPr>
          </w:p>
        </w:tc>
        <w:tc>
          <w:tcPr>
            <w:tcW w:w="5920" w:type="dxa"/>
            <w:vAlign w:val="bottom"/>
            <w:gridSpan w:val="5"/>
          </w:tcPr>
          <w:p>
            <w:pPr>
              <w:jc w:val="center"/>
              <w:ind w:left="98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jc w:val="right"/>
              <w:ind w:right="965"/>
              <w:spacing w:after="0"/>
              <w:rPr>
                <w:sz w:val="20"/>
                <w:szCs w:val="20"/>
                <w:color w:val="auto"/>
              </w:rPr>
            </w:pPr>
            <w:r>
              <w:rPr>
                <w:rFonts w:ascii="Times New Roman" w:cs="Times New Roman" w:eastAsia="Times New Roman" w:hAnsi="Times New Roman"/>
                <w:sz w:val="20"/>
                <w:szCs w:val="20"/>
                <w:color w:val="auto"/>
              </w:rPr>
              <w:t>(888) 611-9888</w:t>
            </w:r>
          </w:p>
        </w:tc>
        <w:tc>
          <w:tcPr>
            <w:tcW w:w="20" w:type="dxa"/>
            <w:vAlign w:val="bottom"/>
          </w:tcPr>
          <w:p>
            <w:pPr>
              <w:spacing w:after="0"/>
              <w:rPr>
                <w:sz w:val="24"/>
                <w:szCs w:val="24"/>
                <w:color w:val="auto"/>
              </w:rPr>
            </w:pP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22860</wp:posOffset>
            </wp:positionV>
            <wp:extent cx="4406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69"/>
        </w:trPr>
        <w:tc>
          <w:tcPr>
            <w:tcW w:w="3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DSGR</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On April 30, 2026, Distribution Solutions Group, Inc. issued a press release announcing its first quarter 2026 results. A copy of the press release is attached as Exhibit 99.1 to this Form 8-K and is incorporated herein by reference.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99.1 Press Release issued on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1184275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9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DISTRIBUTION SOLUTIONS GROUP, INC.</w:t>
      </w: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tabs>
          <w:tab w:leader="none" w:pos="5140" w:val="left"/>
        </w:tabs>
        <w:rPr>
          <w:sz w:val="20"/>
          <w:szCs w:val="20"/>
          <w:color w:val="auto"/>
        </w:rPr>
      </w:pPr>
      <w:r>
        <w:rPr>
          <w:rFonts w:ascii="Times New Roman" w:cs="Times New Roman" w:eastAsia="Times New Roman" w:hAnsi="Times New Roman"/>
          <w:sz w:val="20"/>
          <w:szCs w:val="20"/>
          <w:color w:val="auto"/>
        </w:rPr>
        <w:t>Date: April 30, 2026</w:t>
      </w:r>
      <w:r>
        <w:rPr>
          <w:sz w:val="20"/>
          <w:szCs w:val="20"/>
          <w:color w:val="auto"/>
        </w:rPr>
        <w:tab/>
      </w:r>
      <w:r>
        <w:rPr>
          <w:rFonts w:ascii="Times New Roman" w:cs="Times New Roman" w:eastAsia="Times New Roman" w:hAnsi="Times New Roman"/>
          <w:sz w:val="19"/>
          <w:szCs w:val="19"/>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-2540</wp:posOffset>
            </wp:positionV>
            <wp:extent cx="111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1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Name: Ronald J. Knutson</w:t>
      </w:r>
    </w:p>
    <w:p>
      <w:pPr>
        <w:spacing w:after="0" w:line="2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Title: 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0"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60" w:type="dxa"/>
            <w:vAlign w:val="bottom"/>
            <w:gridSpan w:val="2"/>
          </w:tcPr>
          <w:p>
            <w:pPr>
              <w:ind w:left="24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30"/>
        </w:trPr>
        <w:tc>
          <w:tcPr>
            <w:tcW w:w="2420" w:type="dxa"/>
            <w:vAlign w:val="bottom"/>
            <w:gridSpan w:val="4"/>
          </w:tcPr>
          <w:p>
            <w:pPr>
              <w:ind w:left="26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738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1880" w:type="dxa"/>
            <w:vAlign w:val="bottom"/>
            <w:tcBorders>
              <w:top w:val="single" w:sz="8" w:color="auto"/>
            </w:tcBorders>
            <w:gridSpan w:val="3"/>
          </w:tcPr>
          <w:p>
            <w:pPr>
              <w:jc w:val="center"/>
              <w:ind w:right="740"/>
              <w:spacing w:after="0" w:line="200" w:lineRule="exact"/>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540" w:type="dxa"/>
            <w:vAlign w:val="bottom"/>
          </w:tcPr>
          <w:p>
            <w:pPr>
              <w:spacing w:after="0"/>
              <w:rPr>
                <w:sz w:val="17"/>
                <w:szCs w:val="17"/>
                <w:color w:val="auto"/>
              </w:rPr>
            </w:pPr>
          </w:p>
        </w:tc>
        <w:tc>
          <w:tcPr>
            <w:tcW w:w="7380" w:type="dxa"/>
            <w:vAlign w:val="bottom"/>
            <w:tcBorders>
              <w:top w:val="single" w:sz="8" w:color="auto"/>
            </w:tcBorders>
            <w:gridSpan w:val="3"/>
          </w:tcPr>
          <w:p>
            <w:pPr>
              <w:ind w:left="20"/>
              <w:spacing w:after="0" w:line="200" w:lineRule="exact"/>
              <w:rPr>
                <w:sz w:val="20"/>
                <w:szCs w:val="20"/>
                <w:color w:val="auto"/>
              </w:rPr>
            </w:pPr>
            <w:r>
              <w:rPr>
                <w:rFonts w:ascii="Times New Roman" w:cs="Times New Roman" w:eastAsia="Times New Roman" w:hAnsi="Times New Roman"/>
                <w:sz w:val="20"/>
                <w:szCs w:val="20"/>
                <w:color w:val="0000FF"/>
              </w:rPr>
              <w:t>Press Release Issued April 30, 2026</w:t>
            </w: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83"/>
        </w:trPr>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104</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ectPr>
          <w:pgSz w:w="11900" w:h="16838" w:orient="portrait"/>
          <w:cols w:equalWidth="0" w:num="1">
            <w:col w:w="10139"/>
          </w:cols>
          <w:pgMar w:left="320" w:top="88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Distribution Solutions Group Announces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2026 First Quarter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Achieved 3.8% First Quarter Revenue Growth</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FORT WORTH, TEXAS, April 30, 2026 - Distribution Solutions Group, Inc. (NASDAQ:DSGR) ("DSG" or the "Company")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premier specialty distribution company, today announced consolidated results for the first quarter ended March 31, 2026. This press release is supplemented by an earnings presentation at </w:t>
      </w:r>
      <w:r>
        <w:rPr>
          <w:rFonts w:ascii="Arial" w:cs="Arial" w:eastAsia="Arial" w:hAnsi="Arial"/>
          <w:sz w:val="19"/>
          <w:szCs w:val="19"/>
          <w:u w:val="single" w:color="auto"/>
          <w:color w:val="026DCE"/>
        </w:rPr>
        <w:t>https://investor.distributionsolutionsgroup.com/news/events</w:t>
      </w:r>
      <w:r>
        <w:rPr>
          <w:rFonts w:ascii="Arial" w:cs="Arial" w:eastAsia="Arial" w:hAnsi="Arial"/>
          <w:sz w:val="19"/>
          <w:szCs w:val="19"/>
          <w:color w:val="auto"/>
        </w:rPr>
        <w: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following represents a summary of certain operating results (unaudited). See the reconciliations of GAAP to non-GAAP measures in Tables 2, 3 and 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495,995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478,029</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481,599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62"/>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7,721</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76.5 %</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Non-GAAP adjusted operating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29,113</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34,392</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26,517</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9.8 %</w:t>
            </w:r>
          </w:p>
        </w:tc>
      </w:tr>
      <w:tr>
        <w:trPr>
          <w:trHeight w:val="153"/>
        </w:trPr>
        <w:tc>
          <w:tcPr>
            <w:tcW w:w="5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3,260</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(6,371)</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106.0 %</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adjusted EBITDA</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42,786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35,437</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148"/>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 as a percent of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-150bps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110bps</w:t>
            </w: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Adjusted EBITDA as a percent of revenue</w:t>
            </w:r>
          </w:p>
        </w:tc>
        <w:tc>
          <w:tcPr>
            <w:tcW w:w="26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-140bps</w:t>
            </w:r>
          </w:p>
        </w:tc>
        <w:tc>
          <w:tcPr>
            <w:tcW w:w="2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20bps</w:t>
            </w:r>
          </w:p>
        </w:tc>
      </w:tr>
    </w:tbl>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Distribution Solutions Group delivered improved revenue and sequential profitability growth in the first quarter. Revenue increased 3.8% year-over-year to $496.0 million, driven by organic sales growth of 3.6% with daily sales improvement across all of the verticals. The first quarter acquisition of Eastern Valve contributed $0.8 million for the partial quarter.</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signaled earlier, the first quarter was going to be under some margin pressures. Profitability improved sequentially on higher sales with positive momentum exiting the fourth quarter. Adjusted EBITDA margin as a percentage of sales was 7.6%, a sequential improvement of 20bps, while a sequential improvement in operating income to $13.6 million drove adjusted earnings per share by 6 cents to $0.24. The Company estimates that certain timing and isolated expenses, as well as fewer selling days in the quarter, negatively impacted adjusted EBITDA as a percent of revenues by approximately 70bps for the quarter. Excluding these items, adjusted EBITDA would have been 8.3% for the quarter.</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Total available liquidity was $415 million at quarter end. During the quarter, DSG closed on the acquisition of Eastern Valve &amp; Control Specialties Ltd., a provider of industrial valve products and related services supporting customers across Atlantic Canada. Eastern Valve was acquired to scale and expand DSG’s operating footprint in the Canadian market.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2026 First Quarter Summary</w:t>
      </w:r>
      <w:r>
        <w:rPr>
          <w:rFonts w:ascii="Arial" w:cs="Arial" w:eastAsia="Arial" w:hAnsi="Arial"/>
          <w:sz w:val="25"/>
          <w:szCs w:val="25"/>
          <w:color w:val="auto"/>
          <w:vertAlign w:val="superscript"/>
        </w:rPr>
        <w:t>(1)</w:t>
      </w:r>
    </w:p>
    <w:p>
      <w:pPr>
        <w:spacing w:after="0" w:line="199" w:lineRule="exact"/>
        <w:rPr>
          <w:sz w:val="20"/>
          <w:szCs w:val="20"/>
          <w:color w:val="auto"/>
        </w:rPr>
      </w:pPr>
    </w:p>
    <w:p>
      <w:pPr>
        <w:jc w:val="both"/>
        <w:ind w:left="660" w:hanging="328"/>
        <w:spacing w:after="0" w:line="25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increased $18.0 million or 3.8% to $496.0 million, primarily driven by organic sales growth of 3.6% and $0.8 million of incremental revenue from the acquisition closed in the first quarter of 2026. Sequentially, organic sales grew 2.8% with organic average daily sales growing 3.7% over the fourth quarter of 2025. Gross margin decreased from 34.3% to 32.9% primarily due to customer and vertical sales mix shifts and higher tariff rates on inbound shipments partially offset by pricing benefits realized.</w:t>
      </w:r>
    </w:p>
    <w:p>
      <w:pPr>
        <w:spacing w:after="0" w:line="65"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income was $13.6 million, net of $11.0 million of non-cash acquired intangible amortization and $4.5 million of non-recurring severance and acquisition-related retention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5" w:right="339" w:bottom="1440" w:gutter="0" w:footer="0" w:header="0"/>
        </w:sectPr>
      </w:pPr>
    </w:p>
    <w:bookmarkStart w:id="5" w:name="page6"/>
    <w:bookmarkEnd w:id="5"/>
    <w:p>
      <w:pPr>
        <w:jc w:val="both"/>
        <w:ind w:left="660"/>
        <w:spacing w:after="0" w:line="277" w:lineRule="auto"/>
        <w:rPr>
          <w:sz w:val="20"/>
          <w:szCs w:val="20"/>
          <w:color w:val="auto"/>
        </w:rPr>
      </w:pPr>
      <w:r>
        <w:rPr>
          <w:rFonts w:ascii="Arial" w:cs="Arial" w:eastAsia="Arial" w:hAnsi="Arial"/>
          <w:sz w:val="19"/>
          <w:szCs w:val="19"/>
          <w:color w:val="auto"/>
        </w:rPr>
        <w:t>stock-based compensation, acquisition-related costs and other non-recurring items. This compares to an operating income of $20.1 million in the prior year quarter which is net of $11.6 million of intangible amortization and $2.7 million of non-recurring items. Adjusted operating income, excluding these non-cash and non-recurring items, was $ 29.1 million in the current quarter compared to $34.4 million in the year-ago quarter and $26.5 million in the fourth quarter of 2025.</w:t>
      </w:r>
    </w:p>
    <w:p>
      <w:pPr>
        <w:spacing w:after="0" w:line="4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was $0.4 million for the quarter compared to net income of $3.3 million in the year-ago quarter.</w:t>
      </w:r>
    </w:p>
    <w:p>
      <w:pPr>
        <w:spacing w:after="0" w:line="12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was $37.8 million, or 7.6% of sales, compared to $42.8 million, or 9.0% of sales in the prior year quarter and $35.4 million or 7.4% of sales in the fourth quarter of 2025.</w:t>
      </w:r>
    </w:p>
    <w:p>
      <w:pPr>
        <w:spacing w:after="0" w:line="32"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Diluted net earnings per share was $0.01 for the quarter compared to diluted net earnings per share of $0.07 in the year-ago quarter. Non-GAAP adjusted diluted earnings per share was $0.24 compared to $0.31 for the same period a year ago and $0.18 for the fourth quarter of 2025.</w:t>
      </w:r>
    </w:p>
    <w:p>
      <w:pPr>
        <w:spacing w:after="0" w:line="70"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used in operations was $20.4 million for the quarter. Uses of cash for the quarter included net capital expenditures of $5.6 million.</w:t>
      </w:r>
    </w:p>
    <w:p>
      <w:pPr>
        <w:spacing w:after="0" w:line="32"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ended the quarter with total liquidity of $415.2 million, consisting of $65.0 million of cash (restricted and unrestricted) and $350.2 million available under its credit facility with net debt leverage of 3.8x.</w:t>
      </w:r>
    </w:p>
    <w:p>
      <w:pPr>
        <w:spacing w:after="0" w:line="32"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Completed the acquisition of Eastern Valve &amp; Control Specialties Ltd., a provider of industrial valve products and related services supporting customers across Atlantic Canada.</w:t>
      </w:r>
    </w:p>
    <w:p>
      <w:pPr>
        <w:spacing w:after="0" w:line="4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See reconciliation of GAAP to non-GAAP measures in tables 2, 3 and 4.</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Distribution Solutions Group, Inc.</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Distribution Solutions Group ("DSG") is a premier multi-platform specialty distribution company providing high touch, value-added distribution solutions to the maintenance, repair &amp; operations (MRO), the original equipment manufacturer (OEM) and the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Distribution Solutions Group, please visit </w:t>
      </w:r>
      <w:r>
        <w:rPr>
          <w:rFonts w:ascii="Arial" w:cs="Arial" w:eastAsia="Arial" w:hAnsi="Arial"/>
          <w:sz w:val="20"/>
          <w:szCs w:val="20"/>
          <w:u w:val="single" w:color="auto"/>
          <w:color w:val="026DCE"/>
        </w:rPr>
        <w:t>www.distributionsolutionsgroup.com</w:t>
      </w:r>
      <w:r>
        <w:rPr>
          <w:rFonts w:ascii="Arial" w:cs="Arial" w:eastAsia="Arial" w:hAnsi="Arial"/>
          <w:sz w:val="20"/>
          <w:szCs w:val="20"/>
          <w:color w:val="auto"/>
        </w:rPr>
        <w: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release contains certain "forward-looking statements" within the meaning of Section 27A of the Securities Act of 1933, as amended,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50" w:lineRule="auto"/>
        <w:rPr>
          <w:sz w:val="20"/>
          <w:szCs w:val="20"/>
          <w:color w:val="auto"/>
        </w:rPr>
      </w:pPr>
      <w:r>
        <w:rPr>
          <w:rFonts w:ascii="Arial" w:cs="Arial" w:eastAsia="Arial" w:hAnsi="Arial"/>
          <w:sz w:val="20"/>
          <w:szCs w:val="20"/>
          <w:color w:val="auto"/>
        </w:rPr>
        <w:t>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risks that DSG may encounter difficulties integrating the business of DSG with the business of other companies that DSG has combined with or may otherwise combine with and that certain assumptions with respect to such business or transactions could prove to be inaccurate. Certain risks associated with DSG's business are also discussed from time to time in the reports DSG files with the Securities and Exchange Commission, including the Company's Annual Report on Form 10-K, Quarterly Reports on Form 10-Q and Current Reports on Form 8-K or other reports the Company may file from time to time with the Securities and Exchange Commission, which should be reviewed carefully.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FOLLOW-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34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13,573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less allowances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373,512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353,374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46,893</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790,908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746,924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126,605</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Rental equipment,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38,956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467,905</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asset,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intangibles,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Trade names and other intangibles,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82,552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value of life insurance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21,567</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Right of use operating lease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108,938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111,117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1,790,004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1,748,621</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shd w:val="clear" w:color="auto" w:fill="CCEEFF"/>
          </w:tcPr>
          <w:p>
            <w:pPr>
              <w:ind w:left="19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151,234</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84,137</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291,465</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696,668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664,196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1,141,897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1,099,274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Preferred stock, $1 par value:</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- 500,000 shares, issued and outstanding — None</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Common stock, $1 par value:</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Authorized - 70,000,000 shares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8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Issued - 47,876,937 and 47,860,312 shares, respectively</w:t>
            </w:r>
          </w:p>
        </w:tc>
        <w:tc>
          <w:tcPr>
            <w:tcW w:w="3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- 46,192,457 and 46,180,700 shares, respectively</w:t>
            </w:r>
          </w:p>
        </w:tc>
        <w:tc>
          <w:tcPr>
            <w:tcW w:w="3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688,619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686,183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deficit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(33,694)</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Treasury stock – 1,684,480 and 1,679,612 shares, respectively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(43,998)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649,347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1,748,621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052"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8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23"/>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34"/>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478,029</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314,049</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163,980</w:t>
            </w:r>
          </w:p>
        </w:tc>
      </w:tr>
      <w:tr>
        <w:trPr>
          <w:trHeight w:val="256"/>
        </w:trPr>
        <w:tc>
          <w:tcPr>
            <w:tcW w:w="8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143,883</w:t>
            </w:r>
          </w:p>
        </w:tc>
      </w:tr>
      <w:tr>
        <w:trPr>
          <w:trHeight w:val="257"/>
        </w:trPr>
        <w:tc>
          <w:tcPr>
            <w:tcW w:w="8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r>
      <w:tr>
        <w:trPr>
          <w:trHeight w:val="257"/>
        </w:trPr>
        <w:tc>
          <w:tcPr>
            <w:tcW w:w="8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liabilities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7"/>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r>
      <w:tr>
        <w:trPr>
          <w:trHeight w:val="236"/>
        </w:trPr>
        <w:tc>
          <w:tcPr>
            <w:tcW w:w="8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Basic income (loss) per share of common 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 of common 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46,190,598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46,601,426</w:t>
            </w:r>
          </w:p>
        </w:tc>
      </w:tr>
      <w:tr>
        <w:trPr>
          <w:trHeight w:val="256"/>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9"/>
        </w:trPr>
        <w:tc>
          <w:tcPr>
            <w:tcW w:w="83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47,030,280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47,400,378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8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5"/>
                <w:szCs w:val="15"/>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2025</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Net income (loss)</w:t>
            </w:r>
          </w:p>
        </w:tc>
        <w:tc>
          <w:tcPr>
            <w:tcW w:w="1260" w:type="dxa"/>
            <w:vAlign w:val="bottom"/>
          </w:tcPr>
          <w:p>
            <w:pPr>
              <w:jc w:val="right"/>
              <w:ind w:right="1064"/>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382</w:t>
            </w:r>
          </w:p>
        </w:tc>
        <w:tc>
          <w:tcPr>
            <w:tcW w:w="100" w:type="dxa"/>
            <w:vAlign w:val="bottom"/>
          </w:tcPr>
          <w:p>
            <w:pPr>
              <w:spacing w:after="0"/>
              <w:rPr>
                <w:sz w:val="17"/>
                <w:szCs w:val="17"/>
                <w:color w:val="auto"/>
              </w:rPr>
            </w:pPr>
          </w:p>
        </w:tc>
        <w:tc>
          <w:tcPr>
            <w:tcW w:w="1280" w:type="dxa"/>
            <w:vAlign w:val="bottom"/>
          </w:tcPr>
          <w:p>
            <w:pPr>
              <w:jc w:val="right"/>
              <w:ind w:right="1084"/>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3,261</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Adjustments to reconcile to net cash used in operating activities: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Depreciation and amortization</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19,724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19,979</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Stock-based compensation</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974</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income taxes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Change in fair value of earnout liabilities</w:t>
            </w:r>
          </w:p>
        </w:tc>
        <w:tc>
          <w:tcPr>
            <w:tcW w:w="1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(Gain) loss on sale of rental equipment</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(Gain) loss on sale of property, plant and equipment</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Charge for step-up of acquired inventory</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Net realizable value adjustment and write-offs for obsolete and excess inventory</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1,779</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Bad debt expense</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(29,587)</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(21,251)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(1,822)</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(4,965)</w:t>
            </w:r>
          </w:p>
        </w:tc>
        <w:tc>
          <w:tcPr>
            <w:tcW w:w="0" w:type="dxa"/>
            <w:vAlign w:val="bottom"/>
          </w:tcPr>
          <w:p>
            <w:pPr>
              <w:spacing w:after="0"/>
              <w:rPr>
                <w:sz w:val="1"/>
                <w:szCs w:val="1"/>
                <w:color w:val="auto"/>
              </w:rPr>
            </w:pPr>
          </w:p>
        </w:tc>
      </w:tr>
      <w:tr>
        <w:trPr>
          <w:trHeight w:val="201"/>
        </w:trPr>
        <w:tc>
          <w:tcPr>
            <w:tcW w:w="7180" w:type="dxa"/>
            <w:vAlign w:val="bottom"/>
          </w:tcPr>
          <w:p>
            <w:pPr>
              <w:ind w:left="460"/>
              <w:spacing w:after="0"/>
              <w:rPr>
                <w:sz w:val="20"/>
                <w:szCs w:val="20"/>
                <w:color w:val="auto"/>
              </w:rPr>
            </w:pPr>
            <w:r>
              <w:rPr>
                <w:rFonts w:ascii="Arial" w:cs="Arial" w:eastAsia="Arial" w:hAnsi="Arial"/>
                <w:sz w:val="15"/>
                <w:szCs w:val="15"/>
                <w:color w:val="auto"/>
              </w:rPr>
              <w:t>Accounts payable</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16,295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7,735</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Accrued expenses and other current liabilities</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(2,957)</w:t>
            </w:r>
          </w:p>
        </w:tc>
        <w:tc>
          <w:tcPr>
            <w:tcW w:w="0" w:type="dxa"/>
            <w:vAlign w:val="bottom"/>
          </w:tcPr>
          <w:p>
            <w:pPr>
              <w:spacing w:after="0"/>
              <w:rPr>
                <w:sz w:val="1"/>
                <w:szCs w:val="1"/>
                <w:color w:val="auto"/>
              </w:rPr>
            </w:pPr>
          </w:p>
        </w:tc>
      </w:tr>
      <w:tr>
        <w:trPr>
          <w:trHeight w:val="201"/>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Other changes in operating assets and liabilities</w:t>
            </w:r>
          </w:p>
        </w:tc>
        <w:tc>
          <w:tcPr>
            <w:tcW w:w="1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w:t>
            </w:r>
          </w:p>
        </w:tc>
        <w:tc>
          <w:tcPr>
            <w:tcW w:w="0" w:type="dxa"/>
            <w:vAlign w:val="bottom"/>
          </w:tcPr>
          <w:p>
            <w:pPr>
              <w:spacing w:after="0"/>
              <w:rPr>
                <w:sz w:val="1"/>
                <w:szCs w:val="1"/>
                <w:color w:val="auto"/>
              </w:rPr>
            </w:pPr>
          </w:p>
        </w:tc>
      </w:tr>
      <w:tr>
        <w:trPr>
          <w:trHeight w:val="197"/>
        </w:trPr>
        <w:tc>
          <w:tcPr>
            <w:tcW w:w="71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provided by (used in) operating activities</w:t>
            </w:r>
          </w:p>
        </w:tc>
        <w:tc>
          <w:tcPr>
            <w:tcW w:w="1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(20,359)</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(4,762)</w:t>
            </w:r>
          </w:p>
        </w:tc>
        <w:tc>
          <w:tcPr>
            <w:tcW w:w="0" w:type="dxa"/>
            <w:vAlign w:val="bottom"/>
          </w:tcPr>
          <w:p>
            <w:pPr>
              <w:spacing w:after="0"/>
              <w:rPr>
                <w:sz w:val="1"/>
                <w:szCs w:val="1"/>
                <w:color w:val="auto"/>
              </w:rPr>
            </w:pPr>
          </w:p>
        </w:tc>
      </w:tr>
      <w:tr>
        <w:trPr>
          <w:trHeight w:val="183"/>
        </w:trPr>
        <w:tc>
          <w:tcPr>
            <w:tcW w:w="71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Purchases of property, plant and equipment</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(5,646)</w:t>
            </w: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Proceeds from sale of property, plant and equipment</w:t>
            </w:r>
          </w:p>
        </w:tc>
        <w:tc>
          <w:tcPr>
            <w:tcW w:w="1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Business acquisitions, net of cash acquired</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(16,241)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Purchases of rental equipment</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(5,548)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(2,861)</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sale of rental equipment</w:t>
            </w:r>
          </w:p>
        </w:tc>
        <w:tc>
          <w:tcPr>
            <w:tcW w:w="1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3,329</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2,464</w:t>
            </w:r>
          </w:p>
        </w:tc>
        <w:tc>
          <w:tcPr>
            <w:tcW w:w="0" w:type="dxa"/>
            <w:vAlign w:val="bottom"/>
          </w:tcPr>
          <w:p>
            <w:pPr>
              <w:spacing w:after="0"/>
              <w:rPr>
                <w:sz w:val="1"/>
                <w:szCs w:val="1"/>
                <w:color w:val="auto"/>
              </w:rPr>
            </w:pPr>
          </w:p>
        </w:tc>
      </w:tr>
      <w:tr>
        <w:trPr>
          <w:trHeight w:val="195"/>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Net cash provided by (used in) investing activities</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(21,824)</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(5,053)</w:t>
            </w:r>
          </w:p>
        </w:tc>
        <w:tc>
          <w:tcPr>
            <w:tcW w:w="0" w:type="dxa"/>
            <w:vAlign w:val="bottom"/>
          </w:tcPr>
          <w:p>
            <w:pPr>
              <w:spacing w:after="0"/>
              <w:rPr>
                <w:sz w:val="1"/>
                <w:szCs w:val="1"/>
                <w:color w:val="auto"/>
              </w:rPr>
            </w:pPr>
          </w:p>
        </w:tc>
      </w:tr>
      <w:tr>
        <w:trPr>
          <w:trHeight w:val="18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Proceeds from revolving lines of credit</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139,496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93,502</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Payments on revolving lines of credit</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(98,474)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(65,334)</w:t>
            </w: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Payments on term loans</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(8,750)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(10,063)</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Repurchase of common stock</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(11,203)</w:t>
            </w:r>
          </w:p>
        </w:tc>
        <w:tc>
          <w:tcPr>
            <w:tcW w:w="0" w:type="dxa"/>
            <w:vAlign w:val="bottom"/>
          </w:tcPr>
          <w:p>
            <w:pPr>
              <w:spacing w:after="0"/>
              <w:rPr>
                <w:sz w:val="1"/>
                <w:szCs w:val="1"/>
                <w:color w:val="auto"/>
              </w:rPr>
            </w:pPr>
          </w:p>
        </w:tc>
      </w:tr>
      <w:tr>
        <w:trPr>
          <w:trHeight w:val="201"/>
        </w:trPr>
        <w:tc>
          <w:tcPr>
            <w:tcW w:w="7180" w:type="dxa"/>
            <w:vAlign w:val="bottom"/>
          </w:tcPr>
          <w:p>
            <w:pPr>
              <w:ind w:left="240"/>
              <w:spacing w:after="0"/>
              <w:rPr>
                <w:sz w:val="20"/>
                <w:szCs w:val="20"/>
                <w:color w:val="auto"/>
              </w:rPr>
            </w:pPr>
            <w:r>
              <w:rPr>
                <w:rFonts w:ascii="Arial" w:cs="Arial" w:eastAsia="Arial" w:hAnsi="Arial"/>
                <w:sz w:val="15"/>
                <w:szCs w:val="15"/>
                <w:color w:val="auto"/>
              </w:rPr>
              <w:t>Shares repurchased held in treasury</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 option exercises</w:t>
            </w:r>
          </w:p>
        </w:tc>
        <w:tc>
          <w:tcPr>
            <w:tcW w:w="1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201"/>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Payment of financing lease principal</w:t>
            </w:r>
          </w:p>
        </w:tc>
        <w:tc>
          <w:tcPr>
            <w:tcW w:w="1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7"/>
        </w:trPr>
        <w:tc>
          <w:tcPr>
            <w:tcW w:w="7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Net cash provided by (used in) financing activities</w:t>
            </w:r>
          </w:p>
        </w:tc>
        <w:tc>
          <w:tcPr>
            <w:tcW w:w="1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32,046</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7,633</w:t>
            </w:r>
          </w:p>
        </w:tc>
        <w:tc>
          <w:tcPr>
            <w:tcW w:w="0" w:type="dxa"/>
            <w:vAlign w:val="bottom"/>
          </w:tcPr>
          <w:p>
            <w:pPr>
              <w:spacing w:after="0"/>
              <w:rPr>
                <w:sz w:val="1"/>
                <w:szCs w:val="1"/>
                <w:color w:val="auto"/>
              </w:rPr>
            </w:pPr>
          </w:p>
        </w:tc>
      </w:tr>
      <w:tr>
        <w:trPr>
          <w:trHeight w:val="195"/>
        </w:trPr>
        <w:tc>
          <w:tcPr>
            <w:tcW w:w="718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493</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Increase (decrease) in cash, cash equivalents and restricted cash</w:t>
            </w: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w:t>
            </w:r>
          </w:p>
        </w:tc>
        <w:tc>
          <w:tcPr>
            <w:tcW w:w="0" w:type="dxa"/>
            <w:vAlign w:val="bottom"/>
          </w:tcPr>
          <w:p>
            <w:pPr>
              <w:spacing w:after="0"/>
              <w:rPr>
                <w:sz w:val="1"/>
                <w:szCs w:val="1"/>
                <w:color w:val="auto"/>
              </w:rPr>
            </w:pPr>
          </w:p>
        </w:tc>
      </w:tr>
      <w:tr>
        <w:trPr>
          <w:trHeight w:val="20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1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75,326</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81,726</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06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64,997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80,037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Cash and cash equivalents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80" w:type="dxa"/>
            <w:vAlign w:val="bottom"/>
            <w:vMerge w:val="continue"/>
          </w:tcPr>
          <w:p>
            <w:pPr>
              <w:spacing w:after="0"/>
              <w:rPr>
                <w:sz w:val="15"/>
                <w:szCs w:val="15"/>
                <w:color w:val="auto"/>
              </w:rPr>
            </w:pPr>
          </w:p>
        </w:tc>
        <w:tc>
          <w:tcPr>
            <w:tcW w:w="1260" w:type="dxa"/>
            <w:vAlign w:val="bottom"/>
          </w:tcPr>
          <w:p>
            <w:pPr>
              <w:jc w:val="right"/>
              <w:ind w:right="1064"/>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52,729</w:t>
            </w:r>
          </w:p>
        </w:tc>
        <w:tc>
          <w:tcPr>
            <w:tcW w:w="100" w:type="dxa"/>
            <w:vAlign w:val="bottom"/>
          </w:tcPr>
          <w:p>
            <w:pPr>
              <w:spacing w:after="0"/>
              <w:rPr>
                <w:sz w:val="15"/>
                <w:szCs w:val="15"/>
                <w:color w:val="auto"/>
              </w:rPr>
            </w:pPr>
          </w:p>
        </w:tc>
        <w:tc>
          <w:tcPr>
            <w:tcW w:w="1280" w:type="dxa"/>
            <w:vAlign w:val="bottom"/>
          </w:tcPr>
          <w:p>
            <w:pPr>
              <w:jc w:val="right"/>
              <w:ind w:right="1084"/>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65,442</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1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12,268</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14,595</w:t>
            </w:r>
          </w:p>
        </w:tc>
        <w:tc>
          <w:tcPr>
            <w:tcW w:w="0" w:type="dxa"/>
            <w:vAlign w:val="bottom"/>
          </w:tcPr>
          <w:p>
            <w:pPr>
              <w:spacing w:after="0"/>
              <w:rPr>
                <w:sz w:val="1"/>
                <w:szCs w:val="1"/>
                <w:color w:val="auto"/>
              </w:rPr>
            </w:pPr>
          </w:p>
        </w:tc>
      </w:tr>
      <w:tr>
        <w:trPr>
          <w:trHeight w:val="197"/>
        </w:trPr>
        <w:tc>
          <w:tcPr>
            <w:tcW w:w="7180" w:type="dxa"/>
            <w:vAlign w:val="bottom"/>
          </w:tcPr>
          <w:p>
            <w:pPr>
              <w:ind w:left="240"/>
              <w:spacing w:after="0"/>
              <w:rPr>
                <w:sz w:val="20"/>
                <w:szCs w:val="20"/>
                <w:color w:val="auto"/>
              </w:rPr>
            </w:pPr>
            <w:r>
              <w:rPr>
                <w:rFonts w:ascii="Arial" w:cs="Arial" w:eastAsia="Arial" w:hAnsi="Arial"/>
                <w:sz w:val="15"/>
                <w:szCs w:val="15"/>
                <w:color w:val="auto"/>
              </w:rPr>
              <w:t>Total cash, cash equivalents and restricted cash</w:t>
            </w:r>
          </w:p>
        </w:tc>
        <w:tc>
          <w:tcPr>
            <w:tcW w:w="1260" w:type="dxa"/>
            <w:vAlign w:val="bottom"/>
            <w:tcBorders>
              <w:bottom w:val="single" w:sz="8" w:color="auto"/>
            </w:tcBorders>
          </w:tcPr>
          <w:p>
            <w:pPr>
              <w:jc w:val="right"/>
              <w:ind w:right="106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64,997</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10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80,037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 Selected Segment Financial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09"/>
        </w:trPr>
        <w:tc>
          <w:tcPr>
            <w:tcW w:w="8220" w:type="dxa"/>
            <w:vAlign w:val="bottom"/>
            <w:shd w:val="clear" w:color="auto" w:fill="CCEEFF"/>
          </w:tcPr>
          <w:p>
            <w:pPr>
              <w:jc w:val="right"/>
              <w:ind w:right="729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Lawson 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123,736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120,462</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Canada Branch Division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50,543</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Gexpro Services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118,905</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TestEquity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188,773</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Intersegment revenue elimination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48"/>
        </w:trPr>
        <w:tc>
          <w:tcPr>
            <w:tcW w:w="8220" w:type="dxa"/>
            <w:vAlign w:val="bottom"/>
            <w:tcBorders>
              <w:bottom w:val="single" w:sz="8" w:color="CCEEFF"/>
            </w:tcBorders>
            <w:shd w:val="clear" w:color="auto" w:fill="CCEEFF"/>
          </w:tcPr>
          <w:p>
            <w:pPr>
              <w:jc w:val="right"/>
              <w:ind w:right="729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478,029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Lawson 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6,316</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Canada Branch Division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Gexpro Services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11,241</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TestEquity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r>
      <w:tr>
        <w:trPr>
          <w:trHeight w:val="248"/>
        </w:trPr>
        <w:tc>
          <w:tcPr>
            <w:tcW w:w="8220" w:type="dxa"/>
            <w:vAlign w:val="bottom"/>
            <w:tcBorders>
              <w:bottom w:val="single" w:sz="8" w:color="CCEEFF"/>
            </w:tcBorders>
            <w:shd w:val="clear" w:color="auto" w:fill="CCEEFF"/>
          </w:tcPr>
          <w:p>
            <w:pPr>
              <w:jc w:val="right"/>
              <w:ind w:right="729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5"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b w:val="1"/>
          <w:bCs w:val="1"/>
          <w:color w:val="auto"/>
        </w:rPr>
        <w:t>DISTRIBUTION SOLUTIONS GROUP, INC.</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SEC REGULATION G GAAP RECONCILIATIONS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reports its financial results in accordance with U.S. generally accepted accounting principles (GAAP). However, 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reflections of underlying trends of the business because they provide a comparison of historical information that excludes certain non-operational or non-cash items that impact the overall comparability. See Tables below for supplemental financial data and corresponding reconciliations to GAAP financial measures for the three months ended March 31, 2026 and 2025 and the three months ended December 31, 2025. Non-GAAP financial measures should be viewed in addition to, and not as an alternative for, the Company's reported results prepared in accordance with GAAP.</w:t>
      </w:r>
    </w:p>
    <w:p>
      <w:pPr>
        <w:spacing w:after="0" w:line="23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Distribution Solutions Group, Inc.</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Table 2 - Reconciliation of GAAP Net Income (Loss) and GAAP Operating Income (Loss) to</w:t>
      </w:r>
    </w:p>
    <w:p>
      <w:pPr>
        <w:jc w:val="center"/>
        <w:spacing w:after="0"/>
        <w:rPr>
          <w:sz w:val="20"/>
          <w:szCs w:val="20"/>
          <w:color w:val="auto"/>
        </w:rPr>
      </w:pPr>
      <w:r>
        <w:rPr>
          <w:rFonts w:ascii="Arial" w:cs="Arial" w:eastAsia="Arial" w:hAnsi="Arial"/>
          <w:sz w:val="18"/>
          <w:szCs w:val="18"/>
          <w:b w:val="1"/>
          <w:bCs w:val="1"/>
          <w:color w:val="auto"/>
        </w:rPr>
        <w:t>Non-GAAP Adjusted EBITDA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9"/>
              </w:rPr>
              <w:t>Three Months Ended</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6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w:t>
            </w:r>
          </w:p>
        </w:tc>
      </w:tr>
      <w:tr>
        <w:trPr>
          <w:trHeight w:val="215"/>
        </w:trPr>
        <w:tc>
          <w:tcPr>
            <w:tcW w:w="6620" w:type="dxa"/>
            <w:vAlign w:val="bottom"/>
          </w:tcPr>
          <w:p>
            <w:pPr>
              <w:ind w:left="24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r>
      <w:tr>
        <w:trPr>
          <w:trHeight w:val="215"/>
        </w:trPr>
        <w:tc>
          <w:tcPr>
            <w:tcW w:w="6620" w:type="dxa"/>
            <w:vAlign w:val="bottom"/>
          </w:tcPr>
          <w:p>
            <w:pPr>
              <w:ind w:left="240"/>
              <w:spacing w:after="0"/>
              <w:rPr>
                <w:sz w:val="20"/>
                <w:szCs w:val="20"/>
                <w:color w:val="auto"/>
              </w:rPr>
            </w:pPr>
            <w:r>
              <w:rPr>
                <w:rFonts w:ascii="Arial" w:cs="Arial" w:eastAsia="Arial" w:hAnsi="Arial"/>
                <w:sz w:val="16"/>
                <w:szCs w:val="16"/>
                <w:color w:val="auto"/>
              </w:rPr>
              <w:t>Change in fair value of earnout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12,944</w:t>
            </w: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7,721</w:t>
            </w:r>
          </w:p>
        </w:tc>
      </w:tr>
      <w:tr>
        <w:trPr>
          <w:trHeight w:val="217"/>
        </w:trPr>
        <w:tc>
          <w:tcPr>
            <w:tcW w:w="6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20,520</w:t>
            </w:r>
          </w:p>
        </w:tc>
      </w:tr>
      <w:tr>
        <w:trPr>
          <w:trHeight w:val="216"/>
        </w:trPr>
        <w:tc>
          <w:tcPr>
            <w:tcW w:w="6620" w:type="dxa"/>
            <w:vAlign w:val="bottom"/>
          </w:tcPr>
          <w:p>
            <w:pPr>
              <w:ind w:left="24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6"/>
        </w:trPr>
        <w:tc>
          <w:tcPr>
            <w:tcW w:w="66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Severance and acquisition related retention expenses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r>
      <w:tr>
        <w:trPr>
          <w:trHeight w:val="216"/>
        </w:trPr>
        <w:tc>
          <w:tcPr>
            <w:tcW w:w="6620" w:type="dxa"/>
            <w:vAlign w:val="bottom"/>
          </w:tcPr>
          <w:p>
            <w:pPr>
              <w:ind w:left="240"/>
              <w:spacing w:after="0" w:line="216" w:lineRule="exact"/>
              <w:rPr>
                <w:sz w:val="20"/>
                <w:szCs w:val="20"/>
                <w:color w:val="auto"/>
              </w:rPr>
            </w:pPr>
            <w:r>
              <w:rPr>
                <w:rFonts w:ascii="Arial" w:cs="Arial" w:eastAsia="Arial" w:hAnsi="Arial"/>
                <w:sz w:val="16"/>
                <w:szCs w:val="16"/>
                <w:color w:val="auto"/>
              </w:rPr>
              <w:t>Acquisition related costs</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6"/>
        </w:trPr>
        <w:tc>
          <w:tcPr>
            <w:tcW w:w="66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Inventory step-up</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20" w:type="dxa"/>
            <w:vAlign w:val="bottom"/>
          </w:tcPr>
          <w:p>
            <w:pPr>
              <w:ind w:left="240"/>
              <w:spacing w:after="0" w:line="216" w:lineRule="exact"/>
              <w:rPr>
                <w:sz w:val="20"/>
                <w:szCs w:val="20"/>
                <w:color w:val="auto"/>
              </w:rPr>
            </w:pPr>
            <w:r>
              <w:rPr>
                <w:rFonts w:ascii="Arial" w:cs="Arial" w:eastAsia="Arial" w:hAnsi="Arial"/>
                <w:sz w:val="16"/>
                <w:szCs w:val="16"/>
                <w:color w:val="auto"/>
              </w:rPr>
              <w:t>Other non-recurring</w:t>
            </w:r>
            <w:r>
              <w:rPr>
                <w:rFonts w:ascii="Arial" w:cs="Arial" w:eastAsia="Arial" w:hAnsi="Arial"/>
                <w:sz w:val="21"/>
                <w:szCs w:val="21"/>
                <w:color w:val="auto"/>
                <w:vertAlign w:val="superscript"/>
              </w:rPr>
              <w:t>(5)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3,567</w:t>
            </w:r>
          </w:p>
        </w:tc>
      </w:tr>
      <w:tr>
        <w:trPr>
          <w:trHeight w:val="23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adjusted EBITDA</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35,437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 as a percent of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r>
      <w:tr>
        <w:trPr>
          <w:trHeight w:val="108"/>
        </w:trPr>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as a percent of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7.4%</w:t>
            </w:r>
          </w:p>
        </w:tc>
      </w:tr>
    </w:tbl>
    <w:p>
      <w:pPr>
        <w:spacing w:after="0" w:line="13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 (benefit) primarily for stock-based compensation, of which a portion varies with the Company's stock price.</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severance expense for actions taken not related to a formal restructuring plan and acquisition related retention expenses.</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Transaction and integration costs related to acquisitions.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Inventory fair value step-up adjustment for acquisition accounting related to acquisitions completed.</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non-recurring costs consist of certain non-recurring strategic projects and other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31" w:right="339" w:bottom="1440" w:gutter="0" w:footer="0" w:header="0"/>
        </w:sectPr>
      </w:pPr>
    </w:p>
    <w:bookmarkStart w:id="12" w:name="page13"/>
    <w:bookmarkEnd w:id="12"/>
    <w:p>
      <w:pPr>
        <w:ind w:left="4180"/>
        <w:spacing w:after="0"/>
        <w:rPr>
          <w:sz w:val="20"/>
          <w:szCs w:val="20"/>
          <w:color w:val="auto"/>
        </w:rPr>
      </w:pPr>
      <w:r>
        <w:rPr>
          <w:rFonts w:ascii="Arial" w:cs="Arial" w:eastAsia="Arial" w:hAnsi="Arial"/>
          <w:sz w:val="18"/>
          <w:szCs w:val="18"/>
          <w:b w:val="1"/>
          <w:bCs w:val="1"/>
          <w:color w:val="auto"/>
        </w:rPr>
        <w:t>Distribution Solutions Group, Inc.</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Table 3 - Reconciliation of GAAP Net Income (Loss) and GAAP Diluted EPS to</w:t>
      </w:r>
    </w:p>
    <w:p>
      <w:pPr>
        <w:jc w:val="center"/>
        <w:spacing w:after="0"/>
        <w:rPr>
          <w:sz w:val="20"/>
          <w:szCs w:val="20"/>
          <w:color w:val="auto"/>
        </w:rPr>
      </w:pPr>
      <w:r>
        <w:rPr>
          <w:rFonts w:ascii="Arial" w:cs="Arial" w:eastAsia="Arial" w:hAnsi="Arial"/>
          <w:sz w:val="18"/>
          <w:szCs w:val="18"/>
          <w:b w:val="1"/>
          <w:bCs w:val="1"/>
          <w:color w:val="auto"/>
        </w:rPr>
        <w:t>Non-GAAP Adjusted Net Income and Non-GAAP Adjusted Diluted EPS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6"/>
                <w:szCs w:val="16"/>
                <w:b w:val="1"/>
                <w:bCs w:val="1"/>
                <w:color w:val="auto"/>
              </w:rPr>
              <w:t>March 31, 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w w:val="98"/>
              </w:rPr>
              <w:t>Diluted EPS</w:t>
            </w:r>
            <w:r>
              <w:rPr>
                <w:rFonts w:ascii="Arial" w:cs="Arial" w:eastAsia="Arial" w:hAnsi="Arial"/>
                <w:sz w:val="21"/>
                <w:szCs w:val="21"/>
                <w:b w:val="1"/>
                <w:bCs w:val="1"/>
                <w:color w:val="auto"/>
                <w:w w:val="98"/>
                <w:vertAlign w:val="superscript"/>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w w:val="98"/>
              </w:rPr>
              <w:t>Diluted EPS</w:t>
            </w:r>
            <w:r>
              <w:rPr>
                <w:rFonts w:ascii="Arial" w:cs="Arial" w:eastAsia="Arial" w:hAnsi="Arial"/>
                <w:sz w:val="21"/>
                <w:szCs w:val="21"/>
                <w:b w:val="1"/>
                <w:bCs w:val="1"/>
                <w:color w:val="auto"/>
                <w:w w:val="98"/>
                <w:vertAlign w:val="superscript"/>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right"/>
              <w:spacing w:after="0" w:line="210" w:lineRule="exact"/>
              <w:rPr>
                <w:sz w:val="20"/>
                <w:szCs w:val="20"/>
                <w:color w:val="auto"/>
              </w:rPr>
            </w:pPr>
            <w:r>
              <w:rPr>
                <w:rFonts w:ascii="Arial" w:cs="Arial" w:eastAsia="Arial" w:hAnsi="Arial"/>
                <w:sz w:val="16"/>
                <w:szCs w:val="16"/>
                <w:b w:val="1"/>
                <w:bCs w:val="1"/>
                <w:color w:val="auto"/>
                <w:w w:val="96"/>
              </w:rPr>
              <w:t>Diluted EPS</w:t>
            </w:r>
            <w:r>
              <w:rPr>
                <w:rFonts w:ascii="Arial" w:cs="Arial" w:eastAsia="Arial" w:hAnsi="Arial"/>
                <w:sz w:val="21"/>
                <w:szCs w:val="21"/>
                <w:b w:val="1"/>
                <w:bCs w:val="1"/>
                <w:color w:val="auto"/>
                <w:w w:val="96"/>
                <w:vertAlign w:val="superscript"/>
              </w:rPr>
              <w:t>(2)</w:t>
            </w: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412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7"/>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related costs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2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11,004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11,585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17"/>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Severance and acquisition related retention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5"/>
        </w:trPr>
        <w:tc>
          <w:tcPr>
            <w:tcW w:w="4120" w:type="dxa"/>
            <w:vAlign w:val="bottom"/>
          </w:tcPr>
          <w:p>
            <w:pPr>
              <w:ind w:left="240"/>
              <w:spacing w:after="0"/>
              <w:rPr>
                <w:sz w:val="20"/>
                <w:szCs w:val="20"/>
                <w:color w:val="auto"/>
              </w:rPr>
            </w:pPr>
            <w:r>
              <w:rPr>
                <w:rFonts w:ascii="Arial" w:cs="Arial" w:eastAsia="Arial" w:hAnsi="Arial"/>
                <w:sz w:val="16"/>
                <w:szCs w:val="16"/>
                <w:color w:val="auto"/>
              </w:rPr>
              <w:t>Change in fair value of earnout liabilities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Inventory step-up</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20" w:type="dxa"/>
            <w:vAlign w:val="bottom"/>
          </w:tcPr>
          <w:p>
            <w:pPr>
              <w:ind w:left="240"/>
              <w:spacing w:after="0"/>
              <w:rPr>
                <w:sz w:val="20"/>
                <w:szCs w:val="20"/>
                <w:color w:val="auto"/>
              </w:rPr>
            </w:pPr>
            <w:r>
              <w:rPr>
                <w:rFonts w:ascii="Arial" w:cs="Arial" w:eastAsia="Arial" w:hAnsi="Arial"/>
                <w:sz w:val="16"/>
                <w:szCs w:val="16"/>
                <w:color w:val="auto"/>
              </w:rPr>
              <w:t>Other non-recurring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pretax adjustments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15,483</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15,295</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16"/>
        </w:trPr>
        <w:tc>
          <w:tcPr>
            <w:tcW w:w="4120" w:type="dxa"/>
            <w:vAlign w:val="bottom"/>
          </w:tcPr>
          <w:p>
            <w:pPr>
              <w:ind w:left="240"/>
              <w:spacing w:after="0" w:line="216" w:lineRule="exact"/>
              <w:rPr>
                <w:sz w:val="20"/>
                <w:szCs w:val="20"/>
                <w:color w:val="auto"/>
              </w:rPr>
            </w:pPr>
            <w:r>
              <w:rPr>
                <w:rFonts w:ascii="Arial" w:cs="Arial" w:eastAsia="Arial" w:hAnsi="Arial"/>
                <w:sz w:val="16"/>
                <w:szCs w:val="16"/>
                <w:color w:val="auto"/>
              </w:rPr>
              <w:t>Tax effect on adjustments</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6"/>
        </w:trPr>
        <w:tc>
          <w:tcPr>
            <w:tcW w:w="41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Deferred tax asset valuation allowance</w:t>
            </w:r>
            <w:r>
              <w:rPr>
                <w:rFonts w:ascii="Arial" w:cs="Arial" w:eastAsia="Arial" w:hAnsi="Arial"/>
                <w:sz w:val="21"/>
                <w:szCs w:val="21"/>
                <w:color w:val="auto"/>
                <w:vertAlign w:val="superscript"/>
              </w:rPr>
              <w:t>(3)/(4)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Non-GAAP adjusted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11,489</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14,702</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8,490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21"/>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adjustment to the income tax expense (benefit) is determined by excluding the non-GAAP adjustments by jurisdiction.</w:t>
      </w:r>
    </w:p>
    <w:p>
      <w:pPr>
        <w:spacing w:after="0" w:line="59" w:lineRule="exact"/>
        <w:rPr>
          <w:rFonts w:ascii="Arial" w:cs="Arial" w:eastAsia="Arial" w:hAnsi="Arial"/>
          <w:sz w:val="16"/>
          <w:szCs w:val="16"/>
          <w:color w:val="auto"/>
        </w:rPr>
      </w:pPr>
    </w:p>
    <w:p>
      <w:pPr>
        <w:ind w:left="340" w:right="20" w:hanging="332"/>
        <w:spacing w:after="0" w:line="286"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Pretax adjustments to diluted EPS calculated on 47.030 million, 47.400 million and 46.199 million diluted shares for the first quarter of 2026 and 2025, and the fourth quarter of 2025, respectively.</w:t>
      </w:r>
    </w:p>
    <w:p>
      <w:pPr>
        <w:spacing w:after="0" w:line="7"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quarter-to-date amounts are derived from the current period year-to-date amount less the previous quarter year-to-date amount.</w:t>
      </w:r>
    </w:p>
    <w:p>
      <w:pPr>
        <w:spacing w:after="0" w:line="59" w:lineRule="exact"/>
        <w:rPr>
          <w:rFonts w:ascii="Arial" w:cs="Arial" w:eastAsia="Arial" w:hAnsi="Arial"/>
          <w:sz w:val="16"/>
          <w:szCs w:val="16"/>
          <w:color w:val="auto"/>
        </w:rPr>
      </w:pPr>
    </w:p>
    <w:p>
      <w:pPr>
        <w:ind w:left="340" w:right="20" w:hanging="332"/>
        <w:spacing w:after="0" w:line="304"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estimated impact to the deferred tax asset valuation allowance from interest expense limitations under Section 163(j) determined by including the non-GAAP adjustments by jurisdiction.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4 - Reconciliation of GAAP Operating Income (Loss) to Non-GAAP Adjusted Operating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Borders>
              <w:bottom w:val="single" w:sz="8" w:color="auto"/>
            </w:tcBorders>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7,721</w:t>
            </w:r>
          </w:p>
        </w:tc>
      </w:tr>
      <w:tr>
        <w:trPr>
          <w:trHeight w:val="257"/>
        </w:trPr>
        <w:tc>
          <w:tcPr>
            <w:tcW w:w="6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adjustments: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600" w:type="dxa"/>
            <w:vAlign w:val="bottom"/>
          </w:tcPr>
          <w:p>
            <w:pPr>
              <w:ind w:left="240"/>
              <w:spacing w:after="0" w:line="216" w:lineRule="exact"/>
              <w:rPr>
                <w:sz w:val="20"/>
                <w:szCs w:val="20"/>
                <w:color w:val="auto"/>
              </w:rPr>
            </w:pPr>
            <w:r>
              <w:rPr>
                <w:rFonts w:ascii="Arial" w:cs="Arial" w:eastAsia="Arial" w:hAnsi="Arial"/>
                <w:sz w:val="16"/>
                <w:szCs w:val="16"/>
                <w:color w:val="auto"/>
              </w:rPr>
              <w:t>Inventory step-up</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gross profit adjustments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adjustments: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600" w:type="dxa"/>
            <w:vAlign w:val="bottom"/>
          </w:tcPr>
          <w:p>
            <w:pPr>
              <w:ind w:left="240"/>
              <w:spacing w:after="0" w:line="216" w:lineRule="exact"/>
              <w:rPr>
                <w:sz w:val="20"/>
                <w:szCs w:val="20"/>
                <w:color w:val="auto"/>
              </w:rPr>
            </w:pPr>
            <w:r>
              <w:rPr>
                <w:rFonts w:ascii="Arial" w:cs="Arial" w:eastAsia="Arial" w:hAnsi="Arial"/>
                <w:sz w:val="16"/>
                <w:szCs w:val="16"/>
                <w:color w:val="auto"/>
              </w:rPr>
              <w:t>Acquisition related costs</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6"/>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11,600</w:t>
            </w:r>
          </w:p>
        </w:tc>
      </w:tr>
      <w:tr>
        <w:trPr>
          <w:trHeight w:val="216"/>
        </w:trPr>
        <w:tc>
          <w:tcPr>
            <w:tcW w:w="6600" w:type="dxa"/>
            <w:vAlign w:val="bottom"/>
          </w:tcPr>
          <w:p>
            <w:pPr>
              <w:ind w:left="24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Severance and acquisition related retention expenses</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r>
      <w:tr>
        <w:trPr>
          <w:trHeight w:val="216"/>
        </w:trPr>
        <w:tc>
          <w:tcPr>
            <w:tcW w:w="6600" w:type="dxa"/>
            <w:vAlign w:val="bottom"/>
          </w:tcPr>
          <w:p>
            <w:pPr>
              <w:ind w:left="240"/>
              <w:spacing w:after="0" w:line="216" w:lineRule="exact"/>
              <w:rPr>
                <w:sz w:val="20"/>
                <w:szCs w:val="20"/>
                <w:color w:val="auto"/>
              </w:rPr>
            </w:pPr>
            <w:r>
              <w:rPr>
                <w:rFonts w:ascii="Arial" w:cs="Arial" w:eastAsia="Arial" w:hAnsi="Arial"/>
                <w:sz w:val="16"/>
                <w:szCs w:val="16"/>
                <w:color w:val="auto"/>
              </w:rPr>
              <w:t>Other non-recurring</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3,567</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selling, general and administrative adjustments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15,459</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18,796</w:t>
            </w:r>
          </w:p>
        </w:tc>
      </w:tr>
      <w:tr>
        <w:trPr>
          <w:trHeight w:val="257"/>
        </w:trPr>
        <w:tc>
          <w:tcPr>
            <w:tcW w:w="66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18,796</w:t>
            </w: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Non-GAAP adjusted operating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29,113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26,517</w:t>
            </w: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Inventory fair value step-up adjustment for acquisition accounting related to acquisitions completed.</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 and integration costs related to acquisitions.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 (benefit) primarily for stock-based compensation, of which a portion varies with the Company's stock price.</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severance expense for actions taken not related to a formal restructuring plan and acquisition related retention expenses.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non-recurring costs consist of certain non-recurring strategic projects and other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3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Distribution Solutions Group,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5 - Reconciliation of GAAP Operating Income (Loss) to Non-GAAP Adjusted EBITDA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Q1 2026 and Q1 2025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rPr>
              <w:t>Lawson Products</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restart"/>
          </w:tcPr>
          <w:p>
            <w:pPr>
              <w:jc w:val="right"/>
              <w:ind w:right="117"/>
              <w:spacing w:after="0"/>
              <w:rPr>
                <w:sz w:val="20"/>
                <w:szCs w:val="20"/>
                <w:color w:val="auto"/>
              </w:rPr>
            </w:pPr>
            <w:r>
              <w:rPr>
                <w:rFonts w:ascii="Arial" w:cs="Arial" w:eastAsia="Arial" w:hAnsi="Arial"/>
                <w:sz w:val="13"/>
                <w:szCs w:val="13"/>
                <w:b w:val="1"/>
                <w:bCs w:val="1"/>
                <w:color w:val="auto"/>
              </w:rPr>
              <w:t>Gexpro Services</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right"/>
              <w:ind w:right="277"/>
              <w:spacing w:after="0"/>
              <w:rPr>
                <w:sz w:val="20"/>
                <w:szCs w:val="20"/>
                <w:color w:val="auto"/>
              </w:rPr>
            </w:pPr>
            <w:r>
              <w:rPr>
                <w:rFonts w:ascii="Arial" w:cs="Arial" w:eastAsia="Arial" w:hAnsi="Arial"/>
                <w:sz w:val="13"/>
                <w:szCs w:val="13"/>
                <w:b w:val="1"/>
                <w:bCs w:val="1"/>
                <w:color w:val="auto"/>
              </w:rPr>
              <w:t>TestEquity</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ind w:left="120"/>
              <w:spacing w:after="0"/>
              <w:rPr>
                <w:sz w:val="20"/>
                <w:szCs w:val="20"/>
                <w:color w:val="auto"/>
              </w:rPr>
            </w:pPr>
            <w:r>
              <w:rPr>
                <w:rFonts w:ascii="Arial" w:cs="Arial" w:eastAsia="Arial" w:hAnsi="Arial"/>
                <w:sz w:val="13"/>
                <w:szCs w:val="13"/>
                <w:b w:val="1"/>
                <w:bCs w:val="1"/>
                <w:color w:val="auto"/>
              </w:rPr>
              <w:t>Canada Branch</w:t>
            </w:r>
          </w:p>
        </w:tc>
        <w:tc>
          <w:tcPr>
            <w:tcW w:w="100" w:type="dxa"/>
            <w:vAlign w:val="bottom"/>
          </w:tcPr>
          <w:p>
            <w:pPr>
              <w:spacing w:after="0"/>
              <w:rPr>
                <w:sz w:val="13"/>
                <w:szCs w:val="13"/>
                <w:color w:val="auto"/>
              </w:rPr>
            </w:pPr>
          </w:p>
        </w:tc>
        <w:tc>
          <w:tcPr>
            <w:tcW w:w="124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All 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right"/>
              <w:ind w:right="217"/>
              <w:spacing w:after="0"/>
              <w:rPr>
                <w:sz w:val="20"/>
                <w:szCs w:val="20"/>
                <w:color w:val="auto"/>
              </w:rPr>
            </w:pPr>
            <w:r>
              <w:rPr>
                <w:rFonts w:ascii="Arial" w:cs="Arial" w:eastAsia="Arial" w:hAnsi="Arial"/>
                <w:sz w:val="13"/>
                <w:szCs w:val="13"/>
                <w:b w:val="1"/>
                <w:bCs w:val="1"/>
                <w:color w:val="auto"/>
              </w:rPr>
              <w:t>Eliminations</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8"/>
              </w:rPr>
              <w:t>Consolidated DSG</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Division</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Q1 2026</w:t>
            </w:r>
          </w:p>
        </w:tc>
        <w:tc>
          <w:tcPr>
            <w:tcW w:w="12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Q1 2025</w:t>
            </w:r>
          </w:p>
        </w:tc>
        <w:tc>
          <w:tcPr>
            <w:tcW w:w="10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Q1 2026</w:t>
            </w:r>
          </w:p>
        </w:tc>
        <w:tc>
          <w:tcPr>
            <w:tcW w:w="12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Q1 2025</w:t>
            </w:r>
          </w:p>
        </w:tc>
        <w:tc>
          <w:tcPr>
            <w:tcW w:w="10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Q1 2026</w:t>
            </w:r>
          </w:p>
        </w:tc>
        <w:tc>
          <w:tcPr>
            <w:tcW w:w="10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Q1 2025</w:t>
            </w: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Q1 2026</w:t>
            </w:r>
          </w:p>
        </w:tc>
        <w:tc>
          <w:tcPr>
            <w:tcW w:w="12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Q1 2025</w:t>
            </w:r>
          </w:p>
        </w:tc>
        <w:tc>
          <w:tcPr>
            <w:tcW w:w="10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Q1 2026</w:t>
            </w:r>
          </w:p>
        </w:tc>
        <w:tc>
          <w:tcPr>
            <w:tcW w:w="100" w:type="dxa"/>
            <w:vAlign w:val="bottom"/>
          </w:tcPr>
          <w:p>
            <w:pPr>
              <w:spacing w:after="0"/>
              <w:rPr>
                <w:sz w:val="16"/>
                <w:szCs w:val="16"/>
                <w:color w:val="auto"/>
              </w:rPr>
            </w:pPr>
          </w:p>
        </w:tc>
        <w:tc>
          <w:tcPr>
            <w:tcW w:w="5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Q1 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b w:val="1"/>
                <w:bCs w:val="1"/>
                <w:color w:val="auto"/>
                <w:w w:val="92"/>
              </w:rPr>
              <w:t>Q1 2026</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Q1 2025</w:t>
            </w:r>
          </w:p>
        </w:tc>
        <w:tc>
          <w:tcPr>
            <w:tcW w:w="10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Q1 2026</w:t>
            </w:r>
          </w:p>
        </w:tc>
        <w:tc>
          <w:tcPr>
            <w:tcW w:w="120" w:type="dxa"/>
            <w:vAlign w:val="bottom"/>
          </w:tcPr>
          <w:p>
            <w:pPr>
              <w:spacing w:after="0"/>
              <w:rPr>
                <w:sz w:val="16"/>
                <w:szCs w:val="16"/>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Q1 2025</w:t>
            </w:r>
          </w:p>
        </w:tc>
        <w:tc>
          <w:tcPr>
            <w:tcW w:w="0" w:type="dxa"/>
            <w:vAlign w:val="bottom"/>
          </w:tcPr>
          <w:p>
            <w:pPr>
              <w:spacing w:after="0"/>
              <w:rPr>
                <w:sz w:val="1"/>
                <w:szCs w:val="1"/>
                <w:color w:val="auto"/>
              </w:rPr>
            </w:pPr>
          </w:p>
        </w:tc>
      </w:tr>
      <w:tr>
        <w:trPr>
          <w:trHeight w:val="103"/>
        </w:trPr>
        <w:tc>
          <w:tcPr>
            <w:tcW w:w="124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0"/>
                <w:szCs w:val="10"/>
                <w:color w:val="auto"/>
              </w:rPr>
              <w:t>Revenue from</w:t>
            </w: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123,689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495,995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478,029</w:t>
            </w: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Intersegment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revenue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123,736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120,462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117,648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118,905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204,176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188,773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50,543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495,995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478,029</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20,097</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Depreciation and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19,979</w:t>
            </w:r>
          </w:p>
        </w:tc>
        <w:tc>
          <w:tcPr>
            <w:tcW w:w="0" w:type="dxa"/>
            <w:vAlign w:val="bottom"/>
          </w:tcPr>
          <w:p>
            <w:pPr>
              <w:spacing w:after="0"/>
              <w:rPr>
                <w:sz w:val="1"/>
                <w:szCs w:val="1"/>
                <w:color w:val="auto"/>
              </w:rPr>
            </w:pPr>
          </w:p>
        </w:tc>
      </w:tr>
      <w:tr>
        <w:trPr>
          <w:trHeight w:val="171"/>
        </w:trPr>
        <w:tc>
          <w:tcPr>
            <w:tcW w:w="124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Acquisition related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22"/>
        </w:trPr>
        <w:tc>
          <w:tcPr>
            <w:tcW w:w="1240" w:type="dxa"/>
            <w:vAlign w:val="bottom"/>
          </w:tcPr>
          <w:p>
            <w:pPr>
              <w:ind w:left="140"/>
              <w:spacing w:after="0" w:line="122" w:lineRule="exact"/>
              <w:rPr>
                <w:sz w:val="20"/>
                <w:szCs w:val="20"/>
                <w:color w:val="auto"/>
              </w:rPr>
            </w:pPr>
            <w:r>
              <w:rPr>
                <w:rFonts w:ascii="Arial" w:cs="Arial" w:eastAsia="Arial" w:hAnsi="Arial"/>
                <w:sz w:val="13"/>
                <w:szCs w:val="13"/>
                <w:color w:val="auto"/>
              </w:rPr>
              <w:t>Stock-based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40"/>
              <w:spacing w:after="0"/>
              <w:rPr>
                <w:sz w:val="20"/>
                <w:szCs w:val="20"/>
                <w:color w:val="auto"/>
              </w:rPr>
            </w:pPr>
            <w:r>
              <w:rPr>
                <w:rFonts w:ascii="Arial" w:cs="Arial" w:eastAsia="Arial" w:hAnsi="Arial"/>
                <w:sz w:val="13"/>
                <w:szCs w:val="13"/>
                <w:color w:val="auto"/>
              </w:rPr>
              <w:t>compensation(2)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938</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365</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Severance and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4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acquisition related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retention</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expenses(3)</w:t>
            </w: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40" w:type="dxa"/>
            <w:vAlign w:val="bottom"/>
          </w:tcPr>
          <w:p>
            <w:pPr>
              <w:ind w:left="140"/>
              <w:spacing w:after="0" w:line="122" w:lineRule="exact"/>
              <w:rPr>
                <w:sz w:val="20"/>
                <w:szCs w:val="20"/>
                <w:color w:val="auto"/>
              </w:rPr>
            </w:pPr>
            <w:r>
              <w:rPr>
                <w:rFonts w:ascii="Arial" w:cs="Arial" w:eastAsia="Arial" w:hAnsi="Arial"/>
                <w:sz w:val="13"/>
                <w:szCs w:val="13"/>
                <w:color w:val="auto"/>
              </w:rPr>
              <w:t>Inventory step-</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140"/>
              <w:spacing w:after="0"/>
              <w:rPr>
                <w:sz w:val="20"/>
                <w:szCs w:val="20"/>
                <w:color w:val="auto"/>
              </w:rPr>
            </w:pPr>
            <w:r>
              <w:rPr>
                <w:rFonts w:ascii="Arial" w:cs="Arial" w:eastAsia="Arial" w:hAnsi="Arial"/>
                <w:sz w:val="13"/>
                <w:szCs w:val="13"/>
                <w:color w:val="auto"/>
              </w:rPr>
              <w:t>up(4)</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Other non-</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recurring(5)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2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24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Non-GAAP adjusted</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11,569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14,307</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12,027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14,975</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13,246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12,811</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2,616</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42,786</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EBITDA</w:t>
            </w: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(loss) as a percent of</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4"/>
              </w:rPr>
              <w:t>7.1%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4"/>
              </w:rPr>
              <w:t>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4"/>
              </w:rPr>
              <w:t>2.0%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2"/>
              </w:rPr>
              <w:t>N/M</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4"/>
              </w:rPr>
              <w:t>2.7%</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22"/>
        </w:trPr>
        <w:tc>
          <w:tcPr>
            <w:tcW w:w="1240" w:type="dxa"/>
            <w:vAlign w:val="bottom"/>
          </w:tcPr>
          <w:p>
            <w:pPr>
              <w:ind w:left="20"/>
              <w:spacing w:after="0" w:line="122" w:lineRule="exact"/>
              <w:rPr>
                <w:sz w:val="20"/>
                <w:szCs w:val="20"/>
                <w:color w:val="auto"/>
              </w:rPr>
            </w:pPr>
            <w:r>
              <w:rPr>
                <w:rFonts w:ascii="Arial" w:cs="Arial" w:eastAsia="Arial" w:hAnsi="Arial"/>
                <w:sz w:val="13"/>
                <w:szCs w:val="13"/>
                <w:color w:val="auto"/>
              </w:rPr>
              <w:t>Adjusted EBITDA as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rPr>
                <w:sz w:val="20"/>
                <w:szCs w:val="20"/>
                <w:color w:val="auto"/>
              </w:rPr>
            </w:pPr>
            <w:r>
              <w:rPr>
                <w:rFonts w:ascii="Arial" w:cs="Arial" w:eastAsia="Arial" w:hAnsi="Arial"/>
                <w:sz w:val="13"/>
                <w:szCs w:val="13"/>
                <w:color w:val="auto"/>
              </w:rPr>
              <w:t>a percent of revenue</w:t>
            </w: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4"/>
              </w:rPr>
              <w:t>9.3%</w:t>
            </w:r>
          </w:p>
        </w:tc>
        <w:tc>
          <w:tcPr>
            <w:tcW w:w="12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92"/>
              </w:rPr>
              <w:t>11.9%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color w:val="auto"/>
                <w:w w:val="97"/>
              </w:rPr>
              <w:t>10.2%</w:t>
            </w:r>
          </w:p>
        </w:tc>
        <w:tc>
          <w:tcPr>
            <w:tcW w:w="120" w:type="dxa"/>
            <w:vAlign w:val="bottom"/>
          </w:tcPr>
          <w:p>
            <w:pPr>
              <w:spacing w:after="0"/>
              <w:rPr>
                <w:sz w:val="15"/>
                <w:szCs w:val="15"/>
                <w:color w:val="auto"/>
              </w:rPr>
            </w:pPr>
          </w:p>
        </w:tc>
        <w:tc>
          <w:tcPr>
            <w:tcW w:w="580" w:type="dxa"/>
            <w:vAlign w:val="bottom"/>
          </w:tcPr>
          <w:p>
            <w:pPr>
              <w:jc w:val="center"/>
              <w:ind w:right="37"/>
              <w:spacing w:after="0"/>
              <w:rPr>
                <w:sz w:val="20"/>
                <w:szCs w:val="20"/>
                <w:color w:val="auto"/>
              </w:rPr>
            </w:pPr>
            <w:r>
              <w:rPr>
                <w:rFonts w:ascii="Arial" w:cs="Arial" w:eastAsia="Arial" w:hAnsi="Arial"/>
                <w:sz w:val="13"/>
                <w:szCs w:val="13"/>
                <w:color w:val="auto"/>
                <w:w w:val="97"/>
              </w:rPr>
              <w:t>12.6%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color w:val="auto"/>
                <w:w w:val="94"/>
              </w:rPr>
              <w:t>6.5%</w:t>
            </w:r>
          </w:p>
        </w:tc>
        <w:tc>
          <w:tcPr>
            <w:tcW w:w="1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4"/>
              </w:rPr>
              <w:t>5.5%</w:t>
            </w:r>
          </w:p>
        </w:tc>
        <w:tc>
          <w:tcPr>
            <w:tcW w:w="12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color w:val="auto"/>
              </w:rPr>
              <w:t>N/M</w:t>
            </w:r>
          </w:p>
        </w:tc>
        <w:tc>
          <w:tcPr>
            <w:tcW w:w="1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92"/>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3"/>
                <w:szCs w:val="13"/>
                <w:color w:val="auto"/>
                <w:w w:val="94"/>
              </w:rPr>
              <w:t>7.6%</w:t>
            </w:r>
          </w:p>
        </w:tc>
        <w:tc>
          <w:tcPr>
            <w:tcW w:w="120" w:type="dxa"/>
            <w:vAlign w:val="bottom"/>
          </w:tcPr>
          <w:p>
            <w:pPr>
              <w:spacing w:after="0"/>
              <w:rPr>
                <w:sz w:val="15"/>
                <w:szCs w:val="15"/>
                <w:color w:val="auto"/>
              </w:rPr>
            </w:pPr>
          </w:p>
        </w:tc>
        <w:tc>
          <w:tcPr>
            <w:tcW w:w="600" w:type="dxa"/>
            <w:vAlign w:val="bottom"/>
          </w:tcPr>
          <w:p>
            <w:pPr>
              <w:jc w:val="center"/>
              <w:ind w:right="37"/>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Transaction and integration costs related to acquisitions.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 (benefit) primarily for stock-based compensation, of which a portion varies with the Company's stock price.</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severance expense from actions taken not related to a formal restructuring plan and acquisition related retention expenses.</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Inventory fair value step-up adjustment for acquisition accounting related to acquisitions completed.</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non-recurring costs consist of certain non-recurring strategic projects and other non-recurring items.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N/M</w:t>
      </w:r>
      <w:r>
        <w:rPr>
          <w:rFonts w:ascii="Arial" w:cs="Arial" w:eastAsia="Arial" w:hAnsi="Arial"/>
          <w:sz w:val="16"/>
          <w:szCs w:val="16"/>
          <w:color w:val="auto"/>
        </w:rPr>
        <w:t xml:space="preserve"> - Not meaningful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931" w:right="4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Distribution Solutions Group,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Ronald J. Knutson</w:t>
      </w:r>
    </w:p>
    <w:p>
      <w:pPr>
        <w:ind w:right="4599"/>
        <w:spacing w:after="0" w:line="267" w:lineRule="auto"/>
        <w:rPr>
          <w:sz w:val="20"/>
          <w:szCs w:val="20"/>
          <w:color w:val="auto"/>
        </w:rPr>
      </w:pPr>
      <w:r>
        <w:rPr>
          <w:rFonts w:ascii="Arial" w:cs="Arial" w:eastAsia="Arial" w:hAnsi="Arial"/>
          <w:sz w:val="20"/>
          <w:szCs w:val="20"/>
          <w:color w:val="auto"/>
        </w:rPr>
        <w:t>Executive Vice President, Chief Financial Officer and Treasurer 1-888-611-9888</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Three Part Advisors,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Steven Hooser / Sandy Martin</w:t>
      </w:r>
    </w:p>
    <w:p>
      <w:pPr>
        <w:spacing w:after="0"/>
        <w:rPr>
          <w:sz w:val="20"/>
          <w:szCs w:val="20"/>
          <w:color w:val="auto"/>
        </w:rPr>
      </w:pPr>
      <w:r>
        <w:rPr>
          <w:rFonts w:ascii="Arial" w:cs="Arial" w:eastAsia="Arial" w:hAnsi="Arial"/>
          <w:sz w:val="20"/>
          <w:szCs w:val="20"/>
          <w:color w:val="auto"/>
        </w:rPr>
        <w:t>214-872-2710 / 214-616-2207</w:t>
      </w: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139"/>
      </w:cols>
      <w:pgMar w:left="320" w:top="8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2026-04-30T06:38:30Z</dcterms:created>
  <dcterms:modified xsi:type="dcterms:W3CDTF">2026-04-30T06:38:30Z</dcterms:modified>
</cp:coreProperties>
</file>