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2482215</wp:posOffset>
            </wp:positionH>
            <wp:positionV relativeFrom="paragraph">
              <wp:posOffset>57150</wp:posOffset>
            </wp:positionV>
            <wp:extent cx="21774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65"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6"/>
          <w:szCs w:val="16"/>
          <w:color w:val="auto"/>
        </w:rPr>
        <w:t>(Mark One)</w:t>
      </w:r>
    </w:p>
    <w:p>
      <w:pPr>
        <w:spacing w:after="0" w:line="30" w:lineRule="exact"/>
        <w:rPr>
          <w:sz w:val="24"/>
          <w:szCs w:val="24"/>
          <w:color w:val="auto"/>
        </w:rPr>
      </w:pPr>
    </w:p>
    <w:p>
      <w:pPr>
        <w:ind w:left="1200" w:right="2120" w:hanging="780"/>
        <w:spacing w:after="0" w:line="279" w:lineRule="auto"/>
        <w:tabs>
          <w:tab w:leader="none" w:pos="120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2025</w:t>
      </w:r>
    </w:p>
    <w:p>
      <w:pPr>
        <w:spacing w:after="0" w:line="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9" w:lineRule="exact"/>
        <w:rPr>
          <w:sz w:val="24"/>
          <w:szCs w:val="24"/>
          <w:color w:val="auto"/>
        </w:rPr>
      </w:pPr>
    </w:p>
    <w:p>
      <w:pPr>
        <w:ind w:left="1200" w:hanging="778"/>
        <w:spacing w:after="0"/>
        <w:tabs>
          <w:tab w:leader="none" w:pos="1200" w:val="left"/>
        </w:tabs>
        <w:numPr>
          <w:ilvl w:val="0"/>
          <w:numId w:val="2"/>
        </w:numPr>
        <w:rPr>
          <w:rFonts w:ascii="Wingdings" w:cs="Wingdings" w:eastAsia="Wingdings" w:hAnsi="Wingdings"/>
          <w:sz w:val="16"/>
          <w:szCs w:val="16"/>
          <w:b w:val="1"/>
          <w:bCs w:val="1"/>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30" w:lineRule="exact"/>
        <w:rPr>
          <w:sz w:val="24"/>
          <w:szCs w:val="24"/>
          <w:color w:val="auto"/>
        </w:rPr>
      </w:pPr>
    </w:p>
    <w:tbl>
      <w:tblPr>
        <w:tblLayout w:type="fixed"/>
        <w:tblInd w:w="1200" w:type="dxa"/>
        <w:tblCellMar>
          <w:top w:w="0" w:type="dxa"/>
          <w:left w:w="0" w:type="dxa"/>
          <w:bottom w:w="0" w:type="dxa"/>
          <w:right w:w="0" w:type="dxa"/>
        </w:tblCellMar>
      </w:tblPr>
      <w:tr>
        <w:trPr>
          <w:trHeight w:val="212"/>
        </w:trPr>
        <w:tc>
          <w:tcPr>
            <w:tcW w:w="2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38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330"/>
        </w:trPr>
        <w:tc>
          <w:tcPr>
            <w:tcW w:w="2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Commission file number: 0-10546</w:t>
            </w:r>
          </w:p>
        </w:tc>
      </w:tr>
      <w:tr>
        <w:trPr>
          <w:trHeight w:val="81"/>
        </w:trPr>
        <w:tc>
          <w:tcPr>
            <w:tcW w:w="2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40" w:type="dxa"/>
            <w:vAlign w:val="bottom"/>
            <w:tcBorders>
              <w:bottom w:val="single" w:sz="8" w:color="auto"/>
            </w:tcBorders>
          </w:tcPr>
          <w:p>
            <w:pPr>
              <w:spacing w:after="0"/>
              <w:rPr>
                <w:sz w:val="7"/>
                <w:szCs w:val="7"/>
                <w:color w:val="auto"/>
              </w:rPr>
            </w:pPr>
          </w:p>
        </w:tc>
      </w:tr>
    </w:tbl>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DISTRIBUTION SOLUTIONS GROUP,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(Exact name of registrant as specified in its charter)</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40" w:type="dxa"/>
            <w:vAlign w:val="bottom"/>
          </w:tcPr>
          <w:p>
            <w:pPr>
              <w:spacing w:after="0"/>
              <w:rPr>
                <w:sz w:val="17"/>
                <w:szCs w:val="17"/>
                <w:color w:val="auto"/>
              </w:rPr>
            </w:pPr>
          </w:p>
        </w:tc>
        <w:tc>
          <w:tcPr>
            <w:tcW w:w="4300" w:type="dxa"/>
            <w:vAlign w:val="bottom"/>
            <w:gridSpan w:val="4"/>
          </w:tcPr>
          <w:p>
            <w:pPr>
              <w:ind w:left="330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0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tcPr>
          <w:p>
            <w:pPr>
              <w:jc w:val="right"/>
              <w:ind w:right="2584"/>
              <w:spacing w:after="0"/>
              <w:rPr>
                <w:sz w:val="20"/>
                <w:szCs w:val="20"/>
                <w:color w:val="auto"/>
              </w:rPr>
            </w:pPr>
            <w:r>
              <w:rPr>
                <w:rFonts w:ascii="Times New Roman" w:cs="Times New Roman" w:eastAsia="Times New Roman" w:hAnsi="Times New Roman"/>
                <w:sz w:val="16"/>
                <w:szCs w:val="16"/>
                <w:b w:val="1"/>
                <w:bCs w:val="1"/>
                <w:color w:val="auto"/>
              </w:rPr>
              <w:t>36-2229304</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020" w:type="dxa"/>
            <w:vAlign w:val="bottom"/>
            <w:gridSpan w:val="6"/>
          </w:tcPr>
          <w:p>
            <w:pPr>
              <w:jc w:val="center"/>
              <w:ind w:left="321"/>
              <w:spacing w:after="0"/>
              <w:rPr>
                <w:sz w:val="20"/>
                <w:szCs w:val="20"/>
                <w:color w:val="auto"/>
              </w:rPr>
            </w:pPr>
            <w:r>
              <w:rPr>
                <w:rFonts w:ascii="Times New Roman" w:cs="Times New Roman" w:eastAsia="Times New Roman" w:hAnsi="Times New Roman"/>
                <w:sz w:val="14"/>
                <w:szCs w:val="14"/>
                <w:b w:val="1"/>
                <w:bCs w:val="1"/>
                <w:i w:val="1"/>
                <w:iCs w:val="1"/>
                <w:color w:val="auto"/>
              </w:rPr>
              <w:t>(State or other jurisdiction of incorporation or organization)</w:t>
            </w:r>
          </w:p>
        </w:tc>
        <w:tc>
          <w:tcPr>
            <w:tcW w:w="41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(I.R.S. Employer Identification No.)</w:t>
            </w:r>
          </w:p>
        </w:tc>
        <w:tc>
          <w:tcPr>
            <w:tcW w:w="0" w:type="dxa"/>
            <w:vAlign w:val="bottom"/>
          </w:tcPr>
          <w:p>
            <w:pPr>
              <w:spacing w:after="0"/>
              <w:rPr>
                <w:sz w:val="1"/>
                <w:szCs w:val="1"/>
                <w:color w:val="auto"/>
              </w:rPr>
            </w:pPr>
          </w:p>
        </w:tc>
      </w:tr>
      <w:tr>
        <w:trPr>
          <w:trHeight w:val="321"/>
        </w:trPr>
        <w:tc>
          <w:tcPr>
            <w:tcW w:w="40" w:type="dxa"/>
            <w:vAlign w:val="bottom"/>
          </w:tcPr>
          <w:p>
            <w:pPr>
              <w:spacing w:after="0"/>
              <w:rPr>
                <w:sz w:val="24"/>
                <w:szCs w:val="24"/>
                <w:color w:val="auto"/>
              </w:rPr>
            </w:pPr>
          </w:p>
        </w:tc>
        <w:tc>
          <w:tcPr>
            <w:tcW w:w="4300" w:type="dxa"/>
            <w:vAlign w:val="bottom"/>
            <w:gridSpan w:val="4"/>
          </w:tcPr>
          <w:p>
            <w:pPr>
              <w:ind w:left="1860"/>
              <w:spacing w:after="0"/>
              <w:rPr>
                <w:sz w:val="20"/>
                <w:szCs w:val="20"/>
                <w:color w:val="auto"/>
              </w:rPr>
            </w:pPr>
            <w:r>
              <w:rPr>
                <w:rFonts w:ascii="Times New Roman" w:cs="Times New Roman" w:eastAsia="Times New Roman" w:hAnsi="Times New Roman"/>
                <w:sz w:val="16"/>
                <w:szCs w:val="16"/>
                <w:b w:val="1"/>
                <w:bCs w:val="1"/>
                <w:color w:val="auto"/>
              </w:rPr>
              <w:t>301 Commerce Street, Suite 1700,</w:t>
            </w:r>
          </w:p>
        </w:tc>
        <w:tc>
          <w:tcPr>
            <w:tcW w:w="10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Fort Worth,</w:t>
            </w:r>
          </w:p>
        </w:tc>
        <w:tc>
          <w:tcPr>
            <w:tcW w:w="170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Texas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tcPr>
          <w:p>
            <w:pPr>
              <w:jc w:val="right"/>
              <w:ind w:right="2764"/>
              <w:spacing w:after="0"/>
              <w:rPr>
                <w:sz w:val="20"/>
                <w:szCs w:val="20"/>
                <w:color w:val="auto"/>
              </w:rPr>
            </w:pPr>
            <w:r>
              <w:rPr>
                <w:rFonts w:ascii="Times New Roman" w:cs="Times New Roman" w:eastAsia="Times New Roman" w:hAnsi="Times New Roman"/>
                <w:sz w:val="16"/>
                <w:szCs w:val="16"/>
                <w:b w:val="1"/>
                <w:bCs w:val="1"/>
                <w:color w:val="auto"/>
              </w:rPr>
              <w:t>76102</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320" w:type="dxa"/>
            <w:vAlign w:val="bottom"/>
            <w:gridSpan w:val="5"/>
          </w:tcPr>
          <w:p>
            <w:pPr>
              <w:jc w:val="center"/>
              <w:ind w:left="2021"/>
              <w:spacing w:after="0"/>
              <w:rPr>
                <w:sz w:val="20"/>
                <w:szCs w:val="20"/>
                <w:color w:val="auto"/>
              </w:rPr>
            </w:pPr>
            <w:r>
              <w:rPr>
                <w:rFonts w:ascii="Times New Roman" w:cs="Times New Roman" w:eastAsia="Times New Roman" w:hAnsi="Times New Roman"/>
                <w:sz w:val="14"/>
                <w:szCs w:val="14"/>
                <w:b w:val="1"/>
                <w:bCs w:val="1"/>
                <w:i w:val="1"/>
                <w:iCs w:val="1"/>
                <w:color w:val="auto"/>
              </w:rPr>
              <w:t>(Address of principal executive offices)</w:t>
            </w:r>
          </w:p>
        </w:tc>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(Zip Code)</w:t>
            </w:r>
          </w:p>
        </w:tc>
        <w:tc>
          <w:tcPr>
            <w:tcW w:w="0" w:type="dxa"/>
            <w:vAlign w:val="bottom"/>
          </w:tcPr>
          <w:p>
            <w:pPr>
              <w:spacing w:after="0"/>
              <w:rPr>
                <w:sz w:val="1"/>
                <w:szCs w:val="1"/>
                <w:color w:val="auto"/>
              </w:rPr>
            </w:pPr>
          </w:p>
        </w:tc>
      </w:tr>
      <w:tr>
        <w:trPr>
          <w:trHeight w:val="332"/>
        </w:trPr>
        <w:tc>
          <w:tcPr>
            <w:tcW w:w="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00" w:type="dxa"/>
            <w:vAlign w:val="bottom"/>
            <w:gridSpan w:val="8"/>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720" w:type="dxa"/>
            <w:vAlign w:val="bottom"/>
            <w:gridSpan w:val="2"/>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9"/>
              </w:rPr>
              <w:t>(888) 611-9888</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7640" w:type="dxa"/>
            <w:vAlign w:val="bottom"/>
            <w:gridSpan w:val="10"/>
          </w:tcPr>
          <w:p>
            <w:pPr>
              <w:jc w:val="center"/>
              <w:ind w:left="3441"/>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4300" w:type="dxa"/>
            <w:vAlign w:val="bottom"/>
            <w:gridSpan w:val="4"/>
          </w:tcPr>
          <w:p>
            <w:pPr>
              <w:ind w:left="12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720" w:type="dxa"/>
            <w:vAlign w:val="bottom"/>
            <w:gridSpan w:val="2"/>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54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640" w:type="dxa"/>
            <w:vAlign w:val="bottom"/>
          </w:tcPr>
          <w:p>
            <w:pPr>
              <w:ind w:left="620"/>
              <w:spacing w:after="0" w:line="155" w:lineRule="exact"/>
              <w:rPr>
                <w:sz w:val="20"/>
                <w:szCs w:val="20"/>
                <w:color w:val="auto"/>
              </w:rPr>
            </w:pPr>
            <w:r>
              <w:rPr>
                <w:rFonts w:ascii="Times New Roman" w:cs="Times New Roman" w:eastAsia="Times New Roman" w:hAnsi="Times New Roman"/>
                <w:sz w:val="16"/>
                <w:szCs w:val="16"/>
                <w:b w:val="1"/>
                <w:bCs w:val="1"/>
                <w:color w:val="auto"/>
              </w:rPr>
              <w:t>Common Stock, $1.00 par value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700" w:type="dxa"/>
            <w:vAlign w:val="bottom"/>
          </w:tcPr>
          <w:p>
            <w:pPr>
              <w:jc w:val="center"/>
              <w:ind w:right="1116"/>
              <w:spacing w:after="0" w:line="155" w:lineRule="exact"/>
              <w:rPr>
                <w:sz w:val="20"/>
                <w:szCs w:val="20"/>
                <w:color w:val="auto"/>
              </w:rPr>
            </w:pPr>
            <w:r>
              <w:rPr>
                <w:rFonts w:ascii="Times New Roman" w:cs="Times New Roman" w:eastAsia="Times New Roman" w:hAnsi="Times New Roman"/>
                <w:sz w:val="16"/>
                <w:szCs w:val="16"/>
                <w:b w:val="1"/>
                <w:bCs w:val="1"/>
                <w:color w:val="auto"/>
              </w:rPr>
              <w:t>DSGR</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40" w:type="dxa"/>
            <w:vAlign w:val="bottom"/>
          </w:tcPr>
          <w:p>
            <w:pPr>
              <w:jc w:val="center"/>
              <w:ind w:right="64"/>
              <w:spacing w:after="0" w:line="155" w:lineRule="exact"/>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tcPr>
          <w:p>
            <w:pPr>
              <w:jc w:val="center"/>
              <w:ind w:right="64"/>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c>
          <w:tcPr>
            <w:tcW w:w="0" w:type="dxa"/>
            <w:vAlign w:val="bottom"/>
          </w:tcPr>
          <w:p>
            <w:pPr>
              <w:spacing w:after="0"/>
              <w:rPr>
                <w:sz w:val="1"/>
                <w:szCs w:val="1"/>
                <w:color w:val="auto"/>
              </w:rPr>
            </w:pPr>
          </w:p>
        </w:tc>
      </w:tr>
      <w:tr>
        <w:trPr>
          <w:trHeight w:val="305"/>
        </w:trPr>
        <w:tc>
          <w:tcPr>
            <w:tcW w:w="40" w:type="dxa"/>
            <w:vAlign w:val="bottom"/>
          </w:tcPr>
          <w:p>
            <w:pPr>
              <w:spacing w:after="0"/>
              <w:rPr>
                <w:sz w:val="24"/>
                <w:szCs w:val="24"/>
                <w:color w:val="auto"/>
              </w:rPr>
            </w:pPr>
          </w:p>
        </w:tc>
        <w:tc>
          <w:tcPr>
            <w:tcW w:w="11180" w:type="dxa"/>
            <w:vAlign w:val="bottom"/>
            <w:gridSpan w:val="11"/>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00" w:type="dxa"/>
            <w:vAlign w:val="bottom"/>
          </w:tcPr>
          <w:p>
            <w:pPr>
              <w:jc w:val="center"/>
              <w:ind w:right="1096"/>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720" w:type="dxa"/>
            <w:vAlign w:val="bottom"/>
            <w:gridSpan w:val="2"/>
          </w:tcPr>
          <w:p>
            <w:pPr>
              <w:jc w:val="center"/>
              <w:ind w:right="56"/>
              <w:spacing w:after="0"/>
              <w:rPr>
                <w:sz w:val="20"/>
                <w:szCs w:val="20"/>
                <w:color w:val="auto"/>
              </w:rPr>
            </w:pPr>
            <w:r>
              <w:rPr>
                <w:rFonts w:ascii="Times New Roman" w:cs="Times New Roman" w:eastAsia="Times New Roman" w:hAnsi="Times New Roman"/>
                <w:sz w:val="14"/>
                <w:szCs w:val="14"/>
                <w:i w:val="1"/>
                <w:iCs w:val="1"/>
                <w:color w:val="auto"/>
              </w:rPr>
              <w:t>(Title of class)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3900" w:type="dxa"/>
            <w:vAlign w:val="bottom"/>
            <w:gridSpan w:val="4"/>
          </w:tcPr>
          <w:p>
            <w:pPr>
              <w:spacing w:after="0"/>
              <w:rPr>
                <w:sz w:val="7"/>
                <w:szCs w:val="7"/>
                <w:color w:val="auto"/>
              </w:rPr>
            </w:pPr>
          </w:p>
        </w:tc>
        <w:tc>
          <w:tcPr>
            <w:tcW w:w="3160" w:type="dxa"/>
            <w:vAlign w:val="bottom"/>
            <w:tcBorders>
              <w:bottom w:val="single" w:sz="8" w:color="auto"/>
            </w:tcBorders>
            <w:gridSpan w:val="3"/>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gridSpan w:val="2"/>
          </w:tcPr>
          <w:p>
            <w:pPr>
              <w:spacing w:after="0"/>
              <w:rPr>
                <w:sz w:val="7"/>
                <w:szCs w:val="7"/>
                <w:color w:val="auto"/>
              </w:rPr>
            </w:pPr>
          </w:p>
        </w:tc>
        <w:tc>
          <w:tcPr>
            <w:tcW w:w="3540" w:type="dxa"/>
            <w:vAlign w:val="bottom"/>
            <w:vMerge w:val="restart"/>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329"/>
        </w:trPr>
        <w:tc>
          <w:tcPr>
            <w:tcW w:w="706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 Yes</w:t>
            </w:r>
          </w:p>
        </w:tc>
        <w:tc>
          <w:tcPr>
            <w:tcW w:w="280" w:type="dxa"/>
            <w:vAlign w:val="bottom"/>
          </w:tcPr>
          <w:p>
            <w:pPr>
              <w:ind w:left="160"/>
              <w:spacing w:after="0"/>
              <w:rPr>
                <w:sz w:val="20"/>
                <w:szCs w:val="20"/>
                <w:color w:val="auto"/>
              </w:rPr>
            </w:pPr>
            <w:r>
              <w:rPr>
                <w:rFonts w:ascii="Wingdings" w:cs="Wingdings" w:eastAsia="Wingdings" w:hAnsi="Wingdings"/>
                <w:sz w:val="14"/>
                <w:szCs w:val="14"/>
                <w:b w:val="1"/>
                <w:bCs w:val="1"/>
                <w:color w:val="auto"/>
                <w:w w:val="79"/>
              </w:rPr>
              <w:t>o</w:t>
            </w:r>
          </w:p>
        </w:tc>
        <w:tc>
          <w:tcPr>
            <w:tcW w:w="100" w:type="dxa"/>
            <w:vAlign w:val="bottom"/>
          </w:tcPr>
          <w:p>
            <w:pPr>
              <w:spacing w:after="0"/>
              <w:rPr>
                <w:sz w:val="24"/>
                <w:szCs w:val="24"/>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No</w:t>
            </w:r>
          </w:p>
        </w:tc>
        <w:tc>
          <w:tcPr>
            <w:tcW w:w="3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3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 Yes</w:t>
            </w:r>
          </w:p>
        </w:tc>
        <w:tc>
          <w:tcPr>
            <w:tcW w:w="340" w:type="dxa"/>
            <w:vAlign w:val="bottom"/>
            <w:gridSpan w:val="3"/>
          </w:tcPr>
          <w:p>
            <w:pPr>
              <w:spacing w:after="0"/>
              <w:rPr>
                <w:sz w:val="20"/>
                <w:szCs w:val="20"/>
                <w:color w:val="auto"/>
              </w:rPr>
            </w:pPr>
            <w:r>
              <w:rPr>
                <w:rFonts w:ascii="Wingdings" w:cs="Wingdings" w:eastAsia="Wingdings" w:hAnsi="Wingdings"/>
                <w:sz w:val="14"/>
                <w:szCs w:val="14"/>
                <w:b w:val="1"/>
                <w:bCs w:val="1"/>
                <w:color w:val="auto"/>
              </w:rPr>
              <w:t>o</w:t>
            </w:r>
          </w:p>
        </w:tc>
        <w:tc>
          <w:tcPr>
            <w:tcW w:w="3540" w:type="dxa"/>
            <w:vAlign w:val="bottom"/>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right="28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(l)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0" w:lineRule="exact"/>
        <w:rPr>
          <w:sz w:val="24"/>
          <w:szCs w:val="24"/>
          <w:color w:val="auto"/>
        </w:rPr>
      </w:pPr>
    </w:p>
    <w:p>
      <w:pPr>
        <w:ind w:right="6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0" w:lineRule="exact"/>
        <w:rPr>
          <w:sz w:val="24"/>
          <w:szCs w:val="24"/>
          <w:color w:val="auto"/>
        </w:rPr>
      </w:pPr>
    </w:p>
    <w:p>
      <w:pPr>
        <w:ind w:right="46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05" w:right="339" w:bottom="1440" w:gutter="0" w:footer="0" w:header="0"/>
        </w:sectPr>
      </w:pPr>
    </w:p>
    <w:p>
      <w:pPr>
        <w:spacing w:after="0" w:line="40"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Large accelerated filer </w:t>
            </w:r>
            <w:r>
              <w:rPr>
                <w:rFonts w:ascii="Wingdings" w:cs="Wingdings" w:eastAsia="Wingdings" w:hAnsi="Wingdings"/>
                <w:sz w:val="14"/>
                <w:szCs w:val="14"/>
                <w:b w:val="1"/>
                <w:bCs w:val="1"/>
                <w:color w:val="auto"/>
              </w:rPr>
              <w:t>o</w:t>
            </w:r>
          </w:p>
        </w:tc>
        <w:tc>
          <w:tcPr>
            <w:tcW w:w="5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Accelerated filer</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Non-accelerated filer </w:t>
            </w:r>
            <w:r>
              <w:rPr>
                <w:rFonts w:ascii="Wingdings" w:cs="Wingdings" w:eastAsia="Wingdings" w:hAnsi="Wingdings"/>
                <w:sz w:val="14"/>
                <w:szCs w:val="14"/>
                <w:b w:val="1"/>
                <w:bCs w:val="1"/>
                <w:color w:val="auto"/>
              </w:rPr>
              <w:t>o</w:t>
            </w:r>
          </w:p>
        </w:tc>
        <w:tc>
          <w:tcPr>
            <w:tcW w:w="5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Smaller reporting company</w:t>
            </w:r>
          </w:p>
        </w:tc>
      </w:tr>
      <w:tr>
        <w:trPr>
          <w:trHeight w:val="203"/>
        </w:trPr>
        <w:tc>
          <w:tcPr>
            <w:tcW w:w="5260" w:type="dxa"/>
            <w:vAlign w:val="bottom"/>
          </w:tcPr>
          <w:p>
            <w:pPr>
              <w:spacing w:after="0"/>
              <w:rPr>
                <w:sz w:val="17"/>
                <w:szCs w:val="17"/>
                <w:color w:val="auto"/>
              </w:rPr>
            </w:pPr>
          </w:p>
        </w:tc>
        <w:tc>
          <w:tcPr>
            <w:tcW w:w="5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Emerging growth company</w:t>
            </w:r>
          </w:p>
        </w:tc>
      </w:tr>
    </w:tbl>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56"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58"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97" w:lineRule="exact"/>
        <w:rPr>
          <w:sz w:val="24"/>
          <w:szCs w:val="24"/>
          <w:color w:val="auto"/>
        </w:rPr>
      </w:pPr>
    </w:p>
    <w:p>
      <w:pPr>
        <w:sectPr>
          <w:pgSz w:w="11900" w:h="16838" w:orient="portrait"/>
          <w:cols w:equalWidth="0" w:num="2">
            <w:col w:w="10740" w:space="220"/>
            <w:col w:w="280"/>
          </w:cols>
          <w:pgMar w:left="320" w:top="705" w:right="339" w:bottom="1440" w:gutter="0" w:footer="0" w:header="0"/>
          <w:type w:val="continuous"/>
        </w:sectPr>
      </w:pPr>
    </w:p>
    <w:p>
      <w:pPr>
        <w:ind w:right="560"/>
        <w:spacing w:after="0" w:line="311"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 w:lineRule="exact"/>
        <w:rPr>
          <w:sz w:val="24"/>
          <w:szCs w:val="24"/>
          <w:color w:val="auto"/>
        </w:rPr>
      </w:pPr>
    </w:p>
    <w:p>
      <w:pPr>
        <w:jc w:val="both"/>
        <w:ind w:right="6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 w:lineRule="exact"/>
        <w:rPr>
          <w:sz w:val="24"/>
          <w:szCs w:val="24"/>
          <w:color w:val="auto"/>
        </w:rPr>
      </w:pPr>
    </w:p>
    <w:p>
      <w:pPr>
        <w:ind w:right="120"/>
        <w:spacing w:after="0" w:line="301"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right="280"/>
        <w:spacing w:after="0" w:line="298"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4"/>
          <w:szCs w:val="14"/>
          <w:b w:val="1"/>
          <w:bCs w:val="1"/>
          <w:color w:val="auto"/>
        </w:rPr>
        <w:t>o</w:t>
      </w:r>
    </w:p>
    <w:p>
      <w:pPr>
        <w:spacing w:after="0" w:line="1" w:lineRule="exact"/>
        <w:rPr>
          <w:sz w:val="24"/>
          <w:szCs w:val="24"/>
          <w:color w:val="auto"/>
        </w:rPr>
      </w:pPr>
    </w:p>
    <w:p>
      <w:pPr>
        <w:spacing w:after="0" w:line="161" w:lineRule="exact"/>
        <w:tabs>
          <w:tab w:leader="none" w:pos="660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by Rule 12b-2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0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The aggregate market value of the registrant’s voting stock held by non-affiliates on June 30, 2025, based upon the closing price of the registrant’s Common Stock on that date, was approximately $258,112,845.</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February 27, 2026, 46,186,293 shares of common stock were outstanding.</w:t>
      </w:r>
    </w:p>
    <w:p>
      <w:pPr>
        <w:spacing w:after="0" w:line="67"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71" w:lineRule="exact"/>
        <w:rPr>
          <w:sz w:val="24"/>
          <w:szCs w:val="24"/>
          <w:color w:val="auto"/>
        </w:rPr>
      </w:pPr>
    </w:p>
    <w:p>
      <w:pPr>
        <w:jc w:val="both"/>
        <w:ind w:right="40"/>
        <w:spacing w:after="0" w:line="271" w:lineRule="auto"/>
        <w:rPr>
          <w:sz w:val="20"/>
          <w:szCs w:val="20"/>
          <w:color w:val="auto"/>
        </w:rPr>
      </w:pPr>
      <w:r>
        <w:rPr>
          <w:rFonts w:ascii="Times New Roman" w:cs="Times New Roman" w:eastAsia="Times New Roman" w:hAnsi="Times New Roman"/>
          <w:sz w:val="14"/>
          <w:szCs w:val="14"/>
          <w:color w:val="auto"/>
        </w:rPr>
        <w:t>Part III of this Annual Report on Form 10-K incorporates by reference certain portions of the registrant’s definitive proxy statement related to its 2026 Annual Stockholders’ Meeting, to be filed with the Securities and Exchange Commission within 120 days after the close of the fiscal year. Except as expressly incorporated by reference, the registrant’s definitive proxy statement shall not be deemed to be part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9780" w:type="dxa"/>
            <w:vAlign w:val="bottom"/>
            <w:gridSpan w:val="7"/>
          </w:tcPr>
          <w:p>
            <w:pPr>
              <w:ind w:left="37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80" w:type="dxa"/>
            <w:vAlign w:val="bottom"/>
          </w:tcPr>
          <w:p>
            <w:pPr>
              <w:spacing w:after="0"/>
              <w:rPr>
                <w:sz w:val="20"/>
                <w:szCs w:val="20"/>
                <w:color w:val="auto"/>
              </w:rPr>
            </w:pPr>
          </w:p>
        </w:tc>
      </w:tr>
      <w:tr>
        <w:trPr>
          <w:trHeight w:val="270"/>
        </w:trPr>
        <w:tc>
          <w:tcPr>
            <w:tcW w:w="94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0" w:type="dxa"/>
            <w:vAlign w:val="bottom"/>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Page #</w:t>
            </w:r>
          </w:p>
        </w:tc>
      </w:tr>
      <w:tr>
        <w:trPr>
          <w:trHeight w:val="250"/>
        </w:trPr>
        <w:tc>
          <w:tcPr>
            <w:tcW w:w="107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Cautionary Statement Regarding Forward-Looking Statements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51"/>
        </w:trPr>
        <w:tc>
          <w:tcPr>
            <w:tcW w:w="9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4"/>
          </w:tcPr>
          <w:p>
            <w:pPr>
              <w:jc w:val="center"/>
              <w:ind w:right="5260"/>
              <w:spacing w:after="0"/>
              <w:rPr>
                <w:sz w:val="20"/>
                <w:szCs w:val="20"/>
                <w:color w:val="auto"/>
              </w:rPr>
            </w:pPr>
            <w:r>
              <w:rPr>
                <w:rFonts w:ascii="Times New Roman" w:cs="Times New Roman" w:eastAsia="Times New Roman" w:hAnsi="Times New Roman"/>
                <w:sz w:val="18"/>
                <w:szCs w:val="18"/>
                <w:color w:val="auto"/>
                <w:w w:val="95"/>
              </w:rPr>
              <w:t>PART I</w:t>
            </w:r>
          </w:p>
        </w:tc>
        <w:tc>
          <w:tcPr>
            <w:tcW w:w="480" w:type="dxa"/>
            <w:vAlign w:val="bottom"/>
          </w:tcPr>
          <w:p>
            <w:pPr>
              <w:spacing w:after="0"/>
              <w:rPr>
                <w:sz w:val="24"/>
                <w:szCs w:val="24"/>
                <w:color w:val="auto"/>
              </w:rPr>
            </w:pPr>
          </w:p>
        </w:tc>
      </w:tr>
      <w:tr>
        <w:trPr>
          <w:trHeight w:val="24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39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Business</w:t>
            </w:r>
          </w:p>
        </w:tc>
        <w:tc>
          <w:tcPr>
            <w:tcW w:w="540" w:type="dxa"/>
            <w:vAlign w:val="bottom"/>
            <w:tcBorders>
              <w:top w:val="single" w:sz="8" w:color="auto"/>
            </w:tcBorders>
          </w:tcPr>
          <w:p>
            <w:pPr>
              <w:spacing w:after="0"/>
              <w:rPr>
                <w:sz w:val="21"/>
                <w:szCs w:val="21"/>
                <w:color w:val="auto"/>
              </w:rPr>
            </w:pPr>
          </w:p>
        </w:tc>
        <w:tc>
          <w:tcPr>
            <w:tcW w:w="5260" w:type="dxa"/>
            <w:vAlign w:val="bottom"/>
            <w:gridSpan w:val="3"/>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78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Risk Factors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978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978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Cybersecurity</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78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Properties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78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Legal Proceedings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78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Mine Safety Disclosures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51"/>
        </w:trPr>
        <w:tc>
          <w:tcPr>
            <w:tcW w:w="9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5"/>
              </w:rPr>
              <w:t>PART II</w:t>
            </w:r>
          </w:p>
        </w:tc>
        <w:tc>
          <w:tcPr>
            <w:tcW w:w="522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r>
      <w:tr>
        <w:trPr>
          <w:trHeight w:val="24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78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78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[RESERVED]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978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978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978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78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978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Controls and Procedures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978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Other Information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978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351"/>
        </w:trPr>
        <w:tc>
          <w:tcPr>
            <w:tcW w:w="9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5860" w:type="dxa"/>
            <w:vAlign w:val="bottom"/>
            <w:gridSpan w:val="6"/>
          </w:tcPr>
          <w:p>
            <w:pPr>
              <w:jc w:val="center"/>
              <w:ind w:right="5200"/>
              <w:spacing w:after="0"/>
              <w:rPr>
                <w:sz w:val="20"/>
                <w:szCs w:val="20"/>
                <w:color w:val="auto"/>
              </w:rPr>
            </w:pPr>
            <w:r>
              <w:rPr>
                <w:rFonts w:ascii="Times New Roman" w:cs="Times New Roman" w:eastAsia="Times New Roman" w:hAnsi="Times New Roman"/>
                <w:sz w:val="18"/>
                <w:szCs w:val="18"/>
                <w:color w:val="auto"/>
                <w:w w:val="96"/>
              </w:rPr>
              <w:t>PART III</w:t>
            </w:r>
          </w:p>
        </w:tc>
        <w:tc>
          <w:tcPr>
            <w:tcW w:w="48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660" w:type="dxa"/>
            <w:vAlign w:val="bottom"/>
            <w:gridSpan w:val="5"/>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4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978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978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Executive Compensation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78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978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978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351"/>
        </w:trPr>
        <w:tc>
          <w:tcPr>
            <w:tcW w:w="9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5860" w:type="dxa"/>
            <w:vAlign w:val="bottom"/>
            <w:gridSpan w:val="6"/>
          </w:tcPr>
          <w:p>
            <w:pPr>
              <w:jc w:val="center"/>
              <w:ind w:right="5200"/>
              <w:spacing w:after="0"/>
              <w:rPr>
                <w:sz w:val="20"/>
                <w:szCs w:val="20"/>
                <w:color w:val="auto"/>
              </w:rPr>
            </w:pPr>
            <w:r>
              <w:rPr>
                <w:rFonts w:ascii="Times New Roman" w:cs="Times New Roman" w:eastAsia="Times New Roman" w:hAnsi="Times New Roman"/>
                <w:sz w:val="18"/>
                <w:szCs w:val="18"/>
                <w:color w:val="auto"/>
                <w:w w:val="94"/>
              </w:rPr>
              <w:t>PART IV</w:t>
            </w:r>
          </w:p>
        </w:tc>
        <w:tc>
          <w:tcPr>
            <w:tcW w:w="480" w:type="dxa"/>
            <w:vAlign w:val="bottom"/>
          </w:tcPr>
          <w:p>
            <w:pPr>
              <w:spacing w:after="0"/>
              <w:rPr>
                <w:sz w:val="24"/>
                <w:szCs w:val="24"/>
                <w:color w:val="auto"/>
              </w:rPr>
            </w:pPr>
          </w:p>
        </w:tc>
      </w:tr>
      <w:tr>
        <w:trPr>
          <w:trHeight w:val="24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3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Exhibits and Financial Statement Schedules</w:t>
            </w:r>
          </w:p>
        </w:tc>
        <w:tc>
          <w:tcPr>
            <w:tcW w:w="660" w:type="dxa"/>
            <w:vAlign w:val="bottom"/>
            <w:tcBorders>
              <w:top w:val="single" w:sz="8" w:color="auto"/>
            </w:tcBorders>
            <w:gridSpan w:val="5"/>
          </w:tcPr>
          <w:p>
            <w:pPr>
              <w:spacing w:after="0"/>
              <w:rPr>
                <w:sz w:val="21"/>
                <w:szCs w:val="21"/>
                <w:color w:val="auto"/>
              </w:rPr>
            </w:pPr>
          </w:p>
        </w:tc>
        <w:tc>
          <w:tcPr>
            <w:tcW w:w="5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978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Form 10-K Summary</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4"/>
        </w:trPr>
        <w:tc>
          <w:tcPr>
            <w:tcW w:w="940" w:type="dxa"/>
            <w:vAlign w:val="bottom"/>
          </w:tcPr>
          <w:p>
            <w:pPr>
              <w:spacing w:after="0"/>
              <w:rPr>
                <w:sz w:val="20"/>
                <w:szCs w:val="20"/>
                <w:color w:val="auto"/>
              </w:rPr>
            </w:pPr>
          </w:p>
        </w:tc>
        <w:tc>
          <w:tcPr>
            <w:tcW w:w="978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Signatures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 LOOKING STATEMENTS</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certain “forward-looking statements” within the meaning of the federal securities laws that involve risks and uncertainties. Terms such as “aim,” “anticipate,” “believe,” “contemplates,” “continues,” “could,” “ensure,” “estimate,” “expect,” “forecasts,” “if,” “intend,” “likely,” “may,” “might,” “objective,” “outlook,” “plan,” “positioned,” “potential,” “predict,” “probable,” “project,” “shall,” “should,” “strategy,” “will,” “would,” and variations of them and other words and terms of similar meaning and expression (and the negatives of such words and terms) are intended to identify forward-looking statements. Forward-looking statements can also be identified by the fact that they do not relate strictly to historical or current facts. These statements are not guarantees of future performance and involve risks, uncertainties and assumptions that are difficult to predict. These statements are based on management’s current expectations, intentions or beliefs as of the date they are made and are subject to a number of factors, assumptions and uncertainties that could cause actual results to differ materially from those described in the forward-looking statements. Factors that could cause or contribute to such differences or that might otherwise impact our business, financial condition and results of operations include:</w:t>
      </w:r>
    </w:p>
    <w:p>
      <w:pPr>
        <w:spacing w:after="0" w:line="21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obsolescence;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 and other disruptions at transportation centers or shipping ports;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customers, product mix and pricing strategy;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of our information and communication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other information security incidents or IT system outages;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manage or implement new technology initiatives or business strategies in an effective and compliant manner, including with respect to artificial intelligence (“AI”);</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recruit, integrate and retain productive sales representatives;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talented employees, managers and executives;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the business operations of businesses we acquire with our other operations, and/or the failure to successfully combine those operations within our expected timetable;</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management to successfully implement changes in operating processes;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markets in which we operate;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charges for goodwill and other intangible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that affect governmental and other tax-supported entities;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effective internal control over financial reporting;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significant amount of indebtedness;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adequately fund our operating and working capital needs through cash generated from operations and borrowings available under our credit facility;</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the covenant requirements of our credit facility or an increase in interest rates under our credit facility;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efforts to combat inflation, or other interest rate pressures, could lead to higher financing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market price of our common stock (the “DSG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influence of Luther King Capital Management Corporation (“LKCM”) over the Company in light of its ownership percentage;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sales of shares of DSG common stock held by entities affiliated with LKCM or the possibility of any such sales;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of environmental protection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matters;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income tax audits, sales tax audits or similar proceedings;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arising from our international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limitations on our ability to use our net operating losses and certain other tax attributes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emergencies;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downturn in the economy or in certain sectors of the economy;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energy costs, tariffs, transportation costs and the cost of raw materials used in our products, and other inflationary pressures;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tariffs, changes in trade policies and changes in import and export regulations of U.S. and foreign governments;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constraints, inflationary pressure and labor shortages;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changes.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detailed discussion of various factors that could cause actual results to differ materially from those described in the forward-looking statements is set forth in Part 1, Item 1A. “Risk Factors” of this Annual Report on Form 10-K. We undertake no obligation to update or revise any forward-looking statement contained herein, whether to reflect events or circumstances after the date on which such statement is made or to reflect the occurrence of unanticipated events or otherwise, except as may be required under applicable law.</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Distribution Solutions Group, Inc. (“DSG”), a Delaware corporation, is a global specialty distribution company providing value-added distribution solutions to the maintenance, repair and operations (“MRO”), original equipment manufacturer (“OEM”) and industrial technology markets.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Through the strategic Mergers (as defined below) completed in 2022, the complementary distribution businesses of Lawson Products, Inc. (“Lawson”), a leader in MRO distribution of C-parts, TestEquity Acquisition, LLC (“TestEquity”), a leader in electronic test and measurement solutions, and 301 HW Opus Holdings, Inc., which conducts business as Gexpro Services (“Gexpro Services”), a leading global supply chain services provider to manufacturing customers were combined under the DSG holding company. On April 1, 2022, DSG, which at the time already owned Lawson, acquired TestEquity and Gexpro Services, in transactions in which TestEquity and Gexpro Services were merged with and into subsidiaries of DSG, with Lawson, TestEquity and Gexpro Services surviving as wholly-owned subsidiaries of DSG, and in connection with which DSG issued shares of DSG common stock to the former equityholders of TestEquity and Gexpro Services in exchange for their equity interests in TestEquity and Gexpro Services (“the Mergers”).</w:t>
      </w:r>
    </w:p>
    <w:p>
      <w:pPr>
        <w:spacing w:after="0" w:line="21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Through its collective businesses, DSG is dedicated to helping customers lower their total cost of operation by increasing productivity and efficiency with the right products, expert technical support, and fast, reliable delivery to be a one-stop solution provider. DSG serves approximately 220,000 distinct customers in several diverse end markets supported by approximately 4,300 dedicated employees and strong vendor partnerships. DSG ships from strategically located distribution and service centers to customers in North America, Europe, Asia, South America and the Middle East. DSG was originally incorporated in Illinois in 1952 and was reincorporated in Delaware in 1982.</w:t>
      </w:r>
    </w:p>
    <w:p>
      <w:pPr>
        <w:spacing w:after="0" w:line="21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Annual Report on Form 10-K to “DSG”, the “Company”, “we”, “our” or “us” refer to Distribution Solutions Group, Inc., and all entities consolidated in the accompanying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2025 Debt Amendment</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December 2025, the Company amended and expanded the senior secured facility through 2030. The new facility includes $700.0 million of term debt and a revolving credit arrangement of $400.0 million, an increase over the previous revolver capacity of $255.0 million. Refer to Note 9 – Debt included in Item 8. Financial Statements and Supplementary Data for information about the Amended Credit Agreement.</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Share Repurchase Increase</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November 2025, the Board authorized a $30.0 million increase to the Company’s existing stock repurchase program for shares of DSG common stock. As a result of the additional authorization, the aggregate repurchase authorization under the Company’s repurchase program for shares of DSG common stock increased from $37.5 million to $67.5 million. The remaining availability for stock repurchases under the stock repurchase program was $32.9 million at 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DSG Vision and Strategic Focus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complementary distribution operations of Lawson, TestEquity and Gexpro Services were combined in 2022 for the purpose of creating a global specialty distribution company enabling each of Lawson, TestEquity and Gexpro Services to maintain their respective high-touch, value-added service delivery models and customer relationships in their specialty distribution businesses under the leadership of their separate business unit management teams. The DSG leadership team provides oversight to these separate leadership teams. This structure helps the combined company leverage best practices, back-office resources and technologies across the three operating companies to help drive cost synergies and efficiencies. The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both"/>
        <w:spacing w:after="0" w:line="282" w:lineRule="auto"/>
        <w:rPr>
          <w:sz w:val="20"/>
          <w:szCs w:val="20"/>
          <w:color w:val="auto"/>
        </w:rPr>
      </w:pPr>
      <w:r>
        <w:rPr>
          <w:rFonts w:ascii="Times New Roman" w:cs="Times New Roman" w:eastAsia="Times New Roman" w:hAnsi="Times New Roman"/>
          <w:sz w:val="18"/>
          <w:szCs w:val="18"/>
          <w:color w:val="auto"/>
        </w:rPr>
        <w:t>combined company has the ability to utilize its combined financial resources to accelerate a strategy of expansion through both business acquisitions and organic growth.</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Organic Growth Strategy</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intend to grow our businesses organically by exploring growth opportunities that provide different channels to reach customers, increase revenue and generate positive results. We plan to utilize our Company structure to grow organic revenue through collaborative selling across our customer bases and expanding the digital capabilities across our platform.</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Acquisition Strategy</w:t>
      </w:r>
    </w:p>
    <w:p>
      <w:pPr>
        <w:spacing w:after="0" w:line="25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to organic growth, we plan to actively pursue acquisition opportunities complementary to our businesses and that we believe will be financially accretive to our organization.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Human Capital Resources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General Employee Information</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organization supports a culture of continuous improvement and emphasizes the importance of addressing the needs of our customers. We require our employees to act with integrity in every aspect of our business while encouraging them to be results driven, team oriented and progressive.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our combined workforce included approximately 4,300 individuals, comprised of approximately 1,770 in sales and marketing, approximately 1,860 in operation and distribution and approximately 680 in management and administration. Approximately 1,740 individuals are within Lawson, 1,140 are within TestEquity, 800 are within Gexpro Services, and 630 are within Canada Branch Division.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5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our four reportable segments: Lawson, TestEquity, Gexpro Services and Canada Branch Division. For more information about our segments, refer to Note 14 – Segment Information in Item 8. Financial Statements and Supplementary Data.</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Lawson</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Lawson is a distributor of specialty products and services to the industrial, commercial, institutional and governmental MRO marketplace. Lawson primarily distributes MRO products to its customers through a network of sales representatives throughout the United States and Canada.</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Background and Operations </w:t>
      </w:r>
      <w:r>
        <w:rPr>
          <w:rFonts w:ascii="Times New Roman" w:cs="Times New Roman" w:eastAsia="Times New Roman" w:hAnsi="Times New Roman"/>
          <w:sz w:val="18"/>
          <w:szCs w:val="18"/>
          <w:color w:val="auto"/>
        </w:rPr>
        <w:t>— Lawson delivers quality products to customers and offers them extensive product knowledge, product application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expertise and Vendor Managed Inventory (“VMI”) services. Lawson competes for business primarily by offering a value-added service approach wherein highly trained sales representatives manage the product inventory for customers. The VMI model makes it less likely that customers will run out of a product while optimizing their inventory levels. Lawson ships products to its customers in all 50 states, Puerto Rico, Canada, Mexico and the Caribbean.</w:t>
      </w:r>
    </w:p>
    <w:p>
      <w:pPr>
        <w:spacing w:after="0" w:line="207"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Strategic Focus — </w:t>
      </w:r>
      <w:r>
        <w:rPr>
          <w:rFonts w:ascii="Times New Roman" w:cs="Times New Roman" w:eastAsia="Times New Roman" w:hAnsi="Times New Roman"/>
          <w:sz w:val="18"/>
          <w:szCs w:val="18"/>
          <w:color w:val="auto"/>
        </w:rPr>
        <w:t>Lawson’s vision is to be its customers’ first choice for MRO solutions that improve their operating performance. Lawson plans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 its vision by working closely with customers to maintain and enhance their operations by providing them with quality products, superior service and innovative solutions and to grow both organically and through acquisitions.</w:t>
      </w:r>
    </w:p>
    <w:p>
      <w:pPr>
        <w:spacing w:after="0" w:line="20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Industry and Competition </w:t>
      </w:r>
      <w:r>
        <w:rPr>
          <w:rFonts w:ascii="Times New Roman" w:cs="Times New Roman" w:eastAsia="Times New Roman" w:hAnsi="Times New Roman"/>
          <w:sz w:val="18"/>
          <w:szCs w:val="18"/>
          <w:color w:val="auto"/>
        </w:rPr>
        <w:t>— The MRO market is comprised of companies that buy and stock products in bulk and supply these products to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an as needed basis. The customer benefits from our knowledge and the convenience of ordering smaller quantities maintained by us.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is a significant amount of competitive fragmentation by geography and product within the industry. We encounter competition from several national distributors and manufacturers and a large number of regional and local distributors. Some competitors have greater financial and personnel resources, handle more extensive lines of merchandise, operate larger facilities and price some merchandise more competitively than we do.</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 During 2025, the Lawson segment sold products to over 51,000 distinct customers. Lawson’s largest customer accounted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4% of Lawson’s revenue. In 2025, approximately 92% of Lawson’s revenue was generated in the United States and approximately 8% in Canada. Although seasonality is not significant, due to fewer selling days and less activity during the holiday season, revenue in the fourth quarter is historically lower than the first three quarters of the year.</w:t>
      </w:r>
    </w:p>
    <w:p>
      <w:pPr>
        <w:spacing w:after="0" w:line="2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Lawson’s customers operate in a variety of industries. Lawson’s revenue percentages by customer end markets in 2025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End Markets</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 Lawson</w:t>
            </w:r>
          </w:p>
        </w:tc>
        <w:tc>
          <w:tcPr>
            <w:tcW w:w="0" w:type="dxa"/>
            <w:vAlign w:val="bottom"/>
          </w:tcPr>
          <w:p>
            <w:pPr>
              <w:spacing w:after="0"/>
              <w:rPr>
                <w:sz w:val="1"/>
                <w:szCs w:val="1"/>
                <w:color w:val="auto"/>
              </w:rPr>
            </w:pPr>
          </w:p>
        </w:tc>
      </w:tr>
      <w:tr>
        <w:trPr>
          <w:trHeight w:val="243"/>
        </w:trPr>
        <w:tc>
          <w:tcPr>
            <w:tcW w:w="9020" w:type="dxa"/>
            <w:vAlign w:val="bottom"/>
            <w:gridSpan w:val="2"/>
            <w:vMerge w:val="continue"/>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0" w:type="dxa"/>
            <w:vAlign w:val="bottom"/>
          </w:tcPr>
          <w:p>
            <w:pPr>
              <w:spacing w:after="0"/>
              <w:rPr>
                <w:sz w:val="1"/>
                <w:szCs w:val="1"/>
                <w:color w:val="auto"/>
              </w:rPr>
            </w:pPr>
          </w:p>
        </w:tc>
      </w:tr>
      <w:tr>
        <w:trPr>
          <w:trHeight w:val="223"/>
        </w:trPr>
        <w:tc>
          <w:tcPr>
            <w:tcW w:w="8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12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Manufacturing</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wholesale and retail</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c>
          <w:tcPr>
            <w:tcW w:w="0" w:type="dxa"/>
            <w:vAlign w:val="bottom"/>
          </w:tcPr>
          <w:p>
            <w:pPr>
              <w:spacing w:after="0"/>
              <w:rPr>
                <w:sz w:val="1"/>
                <w:szCs w:val="1"/>
                <w:color w:val="auto"/>
              </w:rPr>
            </w:pPr>
          </w:p>
        </w:tc>
      </w:tr>
      <w:tr>
        <w:trPr>
          <w:trHeight w:val="230"/>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29"/>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Mining</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29"/>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Equipment rental</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30"/>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29"/>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Government and military</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29"/>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Agriculture</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30"/>
        </w:trPr>
        <w:tc>
          <w:tcPr>
            <w:tcW w:w="9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c>
          <w:tcPr>
            <w:tcW w:w="0" w:type="dxa"/>
            <w:vAlign w:val="bottom"/>
          </w:tcPr>
          <w:p>
            <w:pPr>
              <w:spacing w:after="0"/>
              <w:rPr>
                <w:sz w:val="1"/>
                <w:szCs w:val="1"/>
                <w:color w:val="auto"/>
              </w:rPr>
            </w:pPr>
          </w:p>
        </w:tc>
      </w:tr>
      <w:tr>
        <w:trPr>
          <w:trHeight w:val="248"/>
        </w:trPr>
        <w:tc>
          <w:tcPr>
            <w:tcW w:w="8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Lawson’s customers include a wide range of purchasers of industrial supply products from small repair shops to large national and governmental accounts.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020" w:type="dxa"/>
            <w:vAlign w:val="bottom"/>
            <w:gridSpan w:val="2"/>
          </w:tcPr>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Products </w:t>
            </w:r>
            <w:r>
              <w:rPr>
                <w:rFonts w:ascii="Times New Roman" w:cs="Times New Roman" w:eastAsia="Times New Roman" w:hAnsi="Times New Roman"/>
                <w:sz w:val="18"/>
                <w:szCs w:val="18"/>
                <w:color w:val="auto"/>
              </w:rPr>
              <w:t>— Lawson’s revenue percentages by product categories in 2025 were as follows:</w:t>
            </w: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9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Product Category</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 Lawson</w:t>
            </w:r>
          </w:p>
        </w:tc>
        <w:tc>
          <w:tcPr>
            <w:tcW w:w="0" w:type="dxa"/>
            <w:vAlign w:val="bottom"/>
          </w:tcPr>
          <w:p>
            <w:pPr>
              <w:spacing w:after="0"/>
              <w:rPr>
                <w:sz w:val="1"/>
                <w:szCs w:val="1"/>
                <w:color w:val="auto"/>
              </w:rPr>
            </w:pPr>
          </w:p>
        </w:tc>
      </w:tr>
      <w:tr>
        <w:trPr>
          <w:trHeight w:val="243"/>
        </w:trPr>
        <w:tc>
          <w:tcPr>
            <w:tcW w:w="9020" w:type="dxa"/>
            <w:vAlign w:val="bottom"/>
            <w:gridSpan w:val="2"/>
            <w:vMerge w:val="continue"/>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0" w:type="dxa"/>
            <w:vAlign w:val="bottom"/>
          </w:tcPr>
          <w:p>
            <w:pPr>
              <w:spacing w:after="0"/>
              <w:rPr>
                <w:sz w:val="1"/>
                <w:szCs w:val="1"/>
                <w:color w:val="auto"/>
              </w:rPr>
            </w:pPr>
          </w:p>
        </w:tc>
      </w:tr>
      <w:tr>
        <w:trPr>
          <w:trHeight w:val="223"/>
        </w:trPr>
        <w:tc>
          <w:tcPr>
            <w:tcW w:w="8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Aftermarket automotive supplies</w:t>
            </w:r>
          </w:p>
        </w:tc>
        <w:tc>
          <w:tcPr>
            <w:tcW w:w="12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Fastening systems</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Fluid power</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Electrical</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 chemicals</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Cutting tools and abrasives</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30"/>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Safety</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30"/>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Welding and metal repair</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29"/>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Lawson offers over 226,000 different products of which over 92,000 products are maintained in distribution centers. Lawson strives to carry sufficient inventory to ensure product availability and rapid processing of customer orders. Accurate forecasting of customer demand is essential to establish the proper level of inventory for each product. Inventory levels need to be sufficient to meet customer demand while avoiding the costs of stocking excess items.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2025, Lawson purchased products from approximately 2,200 suppliers and no single supplier accounted for more than 6% of these purchases.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loss of one core supplier could affect operations by hindering the ability to provide full service to customers.</w:t>
      </w:r>
    </w:p>
    <w:p>
      <w:pPr>
        <w:spacing w:after="0" w:line="23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Lawson’s quality control department tests its product offerings to help ensure they meet our customers’ specifications. Lawson recommends solutions to help customers maximize product performance and avoid costly product failures. Lawson’s engineering department provides technical support for products and offers on-site problem solutions. It also develops and presents product safety and technical training seminars tailored to meet customers’ needs.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7" w:name="page8"/>
    <w:bookmarkEnd w:id="7"/>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Human Capital Resources — </w:t>
      </w:r>
      <w:r>
        <w:rPr>
          <w:rFonts w:ascii="Times New Roman" w:cs="Times New Roman" w:eastAsia="Times New Roman" w:hAnsi="Times New Roman"/>
          <w:sz w:val="18"/>
          <w:szCs w:val="18"/>
          <w:color w:val="auto"/>
        </w:rPr>
        <w:t>Lawson supports a culture of continuous improvement and integrity. As of December 31, 2025, Lawson’s workforce had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1,740 individuals: approximately 1,050 in sales and marketing of whom approximately 920 are field sales representatives, 400 in operation and distribution and 290 in management and administration. Approximately 13% of the Lawson workforce is covered by three collective bargaining agreements. We believe that our relationships with our employees and their collective bargaining organizations are satisfactory.</w:t>
      </w:r>
    </w:p>
    <w:p>
      <w:pPr>
        <w:spacing w:after="0" w:line="20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Sales force growth is a strategic driver of the Lawson business, and increased sales coverage throughout the United States and Canada directly impacts Lawson’s success as an organization. Lawson is focused on identifying and recruiting individuals who are a good fit with its sales organization and providing them with the tools needed to succeed, such as training about Lawson’s products and on the successful and effective ways to call potential customers and maintain relationships with existing customers. Lawson’s product training educates its sales team on the optimal uses of products, enabling them to provide the proper products and customized solutions to address customers’ needs, including technical expertise and on-site problem resolution.</w:t>
      </w:r>
    </w:p>
    <w:p>
      <w:pPr>
        <w:spacing w:after="0" w:line="21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Lawson’s leadership team is also focused on improving the productivity of its sales team, reducing sales force turn-over and on offering growth opportunities for its sales representatives.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TestEquity</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TestEquity is a leading distributor of test and measurement equipment and solutions, industrial and electronic production supplies, vendor managed inventory programs, and converting, fabrication and adhesive solutions from its leading manufacturing partners. TestEquity operates primarily through its five distribution brands, namely TestEquity, Hisco, Techni-Pro, Techni-Tool and Jensen Tools, and is focused primarily in North America with a network of sales representatives throughout the United States, Canada, Mexico, Germany and the United Kingdom.</w:t>
      </w:r>
    </w:p>
    <w:p>
      <w:pPr>
        <w:spacing w:after="0" w:line="2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Background and Operations </w:t>
      </w:r>
      <w:r>
        <w:rPr>
          <w:rFonts w:ascii="Times New Roman" w:cs="Times New Roman" w:eastAsia="Times New Roman" w:hAnsi="Times New Roman"/>
          <w:sz w:val="18"/>
          <w:szCs w:val="18"/>
          <w:color w:val="auto"/>
        </w:rPr>
        <w:t>— Based out of North Richland Hills, Texas, TestEquity is a large, comprehensive provider of electronic test solutions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United States supporting the aerospace and defense, wireless and communication, semiconductors, industrial electronics and automotive, and electronics manufacturing industries. TestEquity designs, rents and sells a full line of high-quality environmental test chambers. In addition to a large array of test and measurement products, TestEquity also offers calibration, refurbishment and rental solutions and a wide range of refurbished products. TestEquity continues to benefit from electronification of products across a range of industries including the internet of things (“IOT”), electric vehicles (“EV”) and the 5th generation mobile network (“5G”). TestEquity offers over 400,000 products and approximately 900 manufacturer brands with overlap across the following brands.</w:t>
      </w:r>
    </w:p>
    <w:p>
      <w:pPr>
        <w:spacing w:after="0" w:line="21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Hisco is a specialty distribution company serving the electronic assembly, aerospace and defense, medical and other industrial markets. Hisco also offers specialized warehousing for cold storage and vendor managed inventory services.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Techni-Pro is TestEquity’s private label brand offering dependable, value-focused tools, test accessories, and production supplies that provide customers with practical alternatives to national brands.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Techni-Tool is one of the industry’s largest solder, soldering equipment and electronic production distributors. Techni-Tool offers a wide range of products to support electronic production as well as compliance testing. In addition to the brand specific products offered, Techni-Tool also provides VMI solutions and dedicated technical support.</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Jensen Tools is a top distributor for the electronics MRO customer base. In addition to being a distributor of handheld tools from leading brands, Jensen Tools offers private label Jensen branded hand tools that have been developed over years of customer usage and manufactured to a specified and demanding tolerance level. Jensen Tools employs a dedicated team of engineering, operational and sales professionals who focus on designing and building quality tool kits for its customers.</w:t>
      </w:r>
    </w:p>
    <w:p>
      <w:pPr>
        <w:spacing w:after="0" w:line="20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Strategic Focus </w:t>
      </w:r>
      <w:r>
        <w:rPr>
          <w:rFonts w:ascii="Times New Roman" w:cs="Times New Roman" w:eastAsia="Times New Roman" w:hAnsi="Times New Roman"/>
          <w:sz w:val="18"/>
          <w:szCs w:val="18"/>
          <w:color w:val="auto"/>
        </w:rPr>
        <w:t>— TestEquity intends to grow revenue both organically and through acquisitions and continuing to expand and improve its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offerings to its customers. In particular, TestEquity strives to improve its digital experience, with a consistent approach for all of its brands. TestEquity intends to increase its market share through continued expansion of product lines and greater penetration of the e-commerce market, enabled through investment in key digital talent and leverage of the existing TestEquity and TEquipment platforms.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8" w:name="page9"/>
    <w:bookmarkEnd w:id="8"/>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Industry and Competition </w:t>
      </w:r>
      <w:r>
        <w:rPr>
          <w:rFonts w:ascii="Times New Roman" w:cs="Times New Roman" w:eastAsia="Times New Roman" w:hAnsi="Times New Roman"/>
          <w:sz w:val="18"/>
          <w:szCs w:val="18"/>
          <w:color w:val="auto"/>
        </w:rPr>
        <w:t>— Across both the test and measurement and electronic production supplies businesses, the North American market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fragmented with competitors ranging from large global distributors to national and regional distributors. Some competitors have greater financial and personnel resources, handle more extensive lines of merchandise, operate larger facilities and price some merchandise more competitively than TestEquity.</w:t>
      </w:r>
    </w:p>
    <w:p>
      <w:pPr>
        <w:spacing w:after="0" w:line="20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 TestEquity serves over 127,000 customers at 144,000 locations across the United States and abroad, primarily in Canada, Europe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Mexico with approximately 83% of TestEquity’s revenue in 2025 derived from customers in the United States. There is no significant seasonality in TestEquity’s business across its fiscal quarters. However, the number of business days in a quarter has an impact on TestEquity’s revenue and profitability.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TestEquity’s revenue percentages by customer end markets in 2025 were as follows:</w:t>
            </w: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9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End Markets</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 of TestEquity</w:t>
            </w:r>
          </w:p>
        </w:tc>
        <w:tc>
          <w:tcPr>
            <w:tcW w:w="0" w:type="dxa"/>
            <w:vAlign w:val="bottom"/>
          </w:tcPr>
          <w:p>
            <w:pPr>
              <w:spacing w:after="0"/>
              <w:rPr>
                <w:sz w:val="1"/>
                <w:szCs w:val="1"/>
                <w:color w:val="auto"/>
              </w:rPr>
            </w:pPr>
          </w:p>
        </w:tc>
      </w:tr>
      <w:tr>
        <w:trPr>
          <w:trHeight w:val="243"/>
        </w:trPr>
        <w:tc>
          <w:tcPr>
            <w:tcW w:w="9020" w:type="dxa"/>
            <w:vAlign w:val="bottom"/>
            <w:gridSpan w:val="2"/>
            <w:vMerge w:val="continue"/>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0" w:type="dxa"/>
            <w:vAlign w:val="bottom"/>
          </w:tcPr>
          <w:p>
            <w:pPr>
              <w:spacing w:after="0"/>
              <w:rPr>
                <w:sz w:val="1"/>
                <w:szCs w:val="1"/>
                <w:color w:val="auto"/>
              </w:rPr>
            </w:pPr>
          </w:p>
        </w:tc>
      </w:tr>
      <w:tr>
        <w:trPr>
          <w:trHeight w:val="223"/>
        </w:trPr>
        <w:tc>
          <w:tcPr>
            <w:tcW w:w="8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Electronics manufacturing</w:t>
            </w:r>
          </w:p>
        </w:tc>
        <w:tc>
          <w:tcPr>
            <w:tcW w:w="12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Aerospace and defense</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29"/>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Reseller</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30"/>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29"/>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industrial</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29"/>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Wireless and communications technology</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30"/>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Semi-conductor production</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29"/>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Products </w:t>
      </w:r>
      <w:r>
        <w:rPr>
          <w:rFonts w:ascii="Times New Roman" w:cs="Times New Roman" w:eastAsia="Times New Roman" w:hAnsi="Times New Roman"/>
          <w:sz w:val="18"/>
          <w:szCs w:val="18"/>
          <w:color w:val="auto"/>
        </w:rPr>
        <w:t>— Approximately 7,000 fast-moving products are typically held in inventory across 41 distribution centers available for next day delivery.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TestEquity’s revenue percentages by product categories in 2025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Product Category</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 of TestEquity</w:t>
            </w:r>
          </w:p>
        </w:tc>
        <w:tc>
          <w:tcPr>
            <w:tcW w:w="0" w:type="dxa"/>
            <w:vAlign w:val="bottom"/>
          </w:tcPr>
          <w:p>
            <w:pPr>
              <w:spacing w:after="0"/>
              <w:rPr>
                <w:sz w:val="1"/>
                <w:szCs w:val="1"/>
                <w:color w:val="auto"/>
              </w:rPr>
            </w:pPr>
          </w:p>
        </w:tc>
      </w:tr>
      <w:tr>
        <w:trPr>
          <w:trHeight w:val="243"/>
        </w:trPr>
        <w:tc>
          <w:tcPr>
            <w:tcW w:w="9020" w:type="dxa"/>
            <w:vAlign w:val="bottom"/>
            <w:gridSpan w:val="2"/>
            <w:vMerge w:val="continue"/>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0" w:type="dxa"/>
            <w:vAlign w:val="bottom"/>
          </w:tcPr>
          <w:p>
            <w:pPr>
              <w:spacing w:after="0"/>
              <w:rPr>
                <w:sz w:val="1"/>
                <w:szCs w:val="1"/>
                <w:color w:val="auto"/>
              </w:rPr>
            </w:pPr>
          </w:p>
        </w:tc>
      </w:tr>
      <w:tr>
        <w:trPr>
          <w:trHeight w:val="223"/>
        </w:trPr>
        <w:tc>
          <w:tcPr>
            <w:tcW w:w="8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Electronic production supplies</w:t>
            </w:r>
          </w:p>
        </w:tc>
        <w:tc>
          <w:tcPr>
            <w:tcW w:w="12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Test and measurement</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Fabricated product</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30"/>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Rental and refurbished</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30"/>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TestEquity has 32 key suppliers that made up approximately 38% of TestEquity’s purchases in 2025. In total, TestEquity purchases from approximately 2,300 suppliers across the marketplace.</w:t>
      </w:r>
    </w:p>
    <w:p>
      <w:pPr>
        <w:spacing w:after="0" w:line="18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Human Capital Resources </w:t>
      </w:r>
      <w:r>
        <w:rPr>
          <w:rFonts w:ascii="Times New Roman" w:cs="Times New Roman" w:eastAsia="Times New Roman" w:hAnsi="Times New Roman"/>
          <w:sz w:val="18"/>
          <w:szCs w:val="18"/>
          <w:color w:val="auto"/>
        </w:rPr>
        <w:t>— TestEquity supports a culture of continuous improvement and integrity. TestEquity prides itself on its ability to meet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needs in a driven and progressive manner. As of December 31, 2025, TestEquity’s workforce had 1,140 individuals, comprised of approximately 370 in sales and marketing, 600 in operation and distribution and 170 in administration and support.</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Gexpro Services</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Gexpro Services is a world-class global supply chain solutions provider, specializing in the development of mission critical production line management, aftermarket and field installation programs. Gexpro Services provides comprehensive supply chain management solutions, including a full technology suite offering of VMI, kitting, global logistics management, manufacturing localization and import expertise, value engineering and quality assurance. Gexpro Services’ end-to-end project management is designed to support OEMs with their engineered material specifications, fulfillment, and quality requirements to improve their total cost of ownership. Gexpro Services has manufacturing and supply chain operations in over 35 service center sites across thirteen countries including key geographies in North America, South America, Asia,</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9" w:name="page10"/>
    <w:bookmarkEnd w:id="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Europe, and the Middle East. Gexpro Services serves customers in six vertical markets, including renewables, industrial power, consumer and industrial, technology, transportation, and aerospace and defense.</w:t>
      </w:r>
    </w:p>
    <w:p>
      <w:pPr>
        <w:spacing w:after="0" w:line="18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Background and Operations </w:t>
      </w:r>
      <w:r>
        <w:rPr>
          <w:rFonts w:ascii="Times New Roman" w:cs="Times New Roman" w:eastAsia="Times New Roman" w:hAnsi="Times New Roman"/>
          <w:sz w:val="18"/>
          <w:szCs w:val="18"/>
          <w:color w:val="auto"/>
        </w:rPr>
        <w:t>— As a top distributor and service provider to the OEM market, Gexpro Services has approximately 3,300 suppliers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approximately 53,000 products. These products are inventoried and sourced through 32 locations in North America, South America, Asia, Europe and the Middle East.</w:t>
      </w:r>
    </w:p>
    <w:p>
      <w:pPr>
        <w:spacing w:after="0" w:line="20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Strategic Focus </w:t>
      </w:r>
      <w:r>
        <w:rPr>
          <w:rFonts w:ascii="Times New Roman" w:cs="Times New Roman" w:eastAsia="Times New Roman" w:hAnsi="Times New Roman"/>
          <w:sz w:val="18"/>
          <w:szCs w:val="18"/>
          <w:color w:val="auto"/>
        </w:rPr>
        <w:t>— Gexpro Services intends to grow organically through market share expansion primarily through new product introduction,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sales of products and services to existing customers and expansion of its customer base. Gexpro Services believes that its services benefit its customers by helping them reduce their direct and indirect procurement costs and total cost of ownership for high volume, low value Class C parts, and that its services can help drive substantial cost savings for its customers. Additionally, Gexpro Services intends to grow its business through strategic, accretive acquisitions, and through continued improvement in service and product offerings to its customers.</w:t>
      </w:r>
    </w:p>
    <w:p>
      <w:pPr>
        <w:spacing w:after="0" w:line="21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Industry and Competition </w:t>
      </w:r>
      <w:r>
        <w:rPr>
          <w:rFonts w:ascii="Times New Roman" w:cs="Times New Roman" w:eastAsia="Times New Roman" w:hAnsi="Times New Roman"/>
          <w:sz w:val="18"/>
          <w:szCs w:val="18"/>
          <w:color w:val="auto"/>
        </w:rPr>
        <w:t>— Gexpro Services operates in a large, fragmented market with many competitors servicing OEMs as well as the MRO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of the Class C product line. Competitors of Gexpro Services include large global distributors as well as national, regional and local distributors.</w:t>
      </w:r>
    </w:p>
    <w:p>
      <w:pPr>
        <w:spacing w:after="0" w:line="18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 Gexpro Services serves over 2,100 customers in over 52 countries through its 32 facilities. In 2025, approximately 74% of Gexpro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revenues were generated in the United States. Through its customer base, Gexpro Services provides VMI services with over 155,000 installed bins which allow its customers to maintain the necessary on-hand inventory levels to support their production cycles. Gexpro Services’ value-added processes for its customers include VMI, packaging and kitting, engineering, product standardization when appropriate, sales and technical support, global sourcing and quality assurance.</w:t>
      </w:r>
    </w:p>
    <w:p>
      <w:pPr>
        <w:spacing w:after="0" w:line="21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Approximately 70% of Gexpro Services’ revenue in 2025 was from customers under long-term agreements. Gexpro Services’ largest customer represented approximately 18% of Gexpro Services’ 2025 total revenue while the top 20 customers represented approximately 83% of Gexpro Services’ 2025 total revenue.</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Gexpro Services has existing customers in many different industry end markets. Gexpro Services’ revenue percentages by customer end markets in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2025 were as follows:</w:t>
            </w: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9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End Markets</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 Gexpro</w:t>
            </w:r>
          </w:p>
        </w:tc>
        <w:tc>
          <w:tcPr>
            <w:tcW w:w="0" w:type="dxa"/>
            <w:vAlign w:val="bottom"/>
          </w:tcPr>
          <w:p>
            <w:pPr>
              <w:spacing w:after="0"/>
              <w:rPr>
                <w:sz w:val="1"/>
                <w:szCs w:val="1"/>
                <w:color w:val="auto"/>
              </w:rPr>
            </w:pPr>
          </w:p>
        </w:tc>
      </w:tr>
      <w:tr>
        <w:trPr>
          <w:trHeight w:val="243"/>
        </w:trPr>
        <w:tc>
          <w:tcPr>
            <w:tcW w:w="9020" w:type="dxa"/>
            <w:vAlign w:val="bottom"/>
            <w:gridSpan w:val="2"/>
            <w:vMerge w:val="continue"/>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Services Revenue</w:t>
            </w:r>
          </w:p>
        </w:tc>
        <w:tc>
          <w:tcPr>
            <w:tcW w:w="0" w:type="dxa"/>
            <w:vAlign w:val="bottom"/>
          </w:tcPr>
          <w:p>
            <w:pPr>
              <w:spacing w:after="0"/>
              <w:rPr>
                <w:sz w:val="1"/>
                <w:szCs w:val="1"/>
                <w:color w:val="auto"/>
              </w:rPr>
            </w:pPr>
          </w:p>
        </w:tc>
      </w:tr>
      <w:tr>
        <w:trPr>
          <w:trHeight w:val="223"/>
        </w:trPr>
        <w:tc>
          <w:tcPr>
            <w:tcW w:w="8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Renewable energy</w:t>
            </w:r>
          </w:p>
        </w:tc>
        <w:tc>
          <w:tcPr>
            <w:tcW w:w="12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Industrial power</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Aerospace and defense</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and industrial</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c>
          <w:tcPr>
            <w:tcW w:w="0" w:type="dxa"/>
            <w:vAlign w:val="bottom"/>
          </w:tcPr>
          <w:p>
            <w:pPr>
              <w:spacing w:after="0"/>
              <w:rPr>
                <w:sz w:val="1"/>
                <w:szCs w:val="1"/>
                <w:color w:val="auto"/>
              </w:rPr>
            </w:pPr>
          </w:p>
        </w:tc>
      </w:tr>
      <w:tr>
        <w:trPr>
          <w:trHeight w:val="229"/>
        </w:trPr>
        <w:tc>
          <w:tcPr>
            <w:tcW w:w="9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48"/>
        </w:trPr>
        <w:tc>
          <w:tcPr>
            <w:tcW w:w="8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Products </w:t>
            </w:r>
            <w:r>
              <w:rPr>
                <w:rFonts w:ascii="Times New Roman" w:cs="Times New Roman" w:eastAsia="Times New Roman" w:hAnsi="Times New Roman"/>
                <w:sz w:val="18"/>
                <w:szCs w:val="18"/>
                <w:color w:val="auto"/>
              </w:rPr>
              <w:t>— Gexpro Services’ revenue percentages by product categories in 2025 were as follows:</w:t>
            </w: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9020" w:type="dxa"/>
            <w:vAlign w:val="bottom"/>
            <w:gridSpan w:val="2"/>
            <w:vMerge w:val="continue"/>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9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Product Category</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 Gexpro</w:t>
            </w:r>
          </w:p>
        </w:tc>
        <w:tc>
          <w:tcPr>
            <w:tcW w:w="0" w:type="dxa"/>
            <w:vAlign w:val="bottom"/>
          </w:tcPr>
          <w:p>
            <w:pPr>
              <w:spacing w:after="0"/>
              <w:rPr>
                <w:sz w:val="1"/>
                <w:szCs w:val="1"/>
                <w:color w:val="auto"/>
              </w:rPr>
            </w:pPr>
          </w:p>
        </w:tc>
      </w:tr>
      <w:tr>
        <w:trPr>
          <w:trHeight w:val="243"/>
        </w:trPr>
        <w:tc>
          <w:tcPr>
            <w:tcW w:w="9020" w:type="dxa"/>
            <w:vAlign w:val="bottom"/>
            <w:gridSpan w:val="2"/>
            <w:vMerge w:val="continue"/>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Services Revenue</w:t>
            </w:r>
          </w:p>
        </w:tc>
        <w:tc>
          <w:tcPr>
            <w:tcW w:w="0" w:type="dxa"/>
            <w:vAlign w:val="bottom"/>
          </w:tcPr>
          <w:p>
            <w:pPr>
              <w:spacing w:after="0"/>
              <w:rPr>
                <w:sz w:val="1"/>
                <w:szCs w:val="1"/>
                <w:color w:val="auto"/>
              </w:rPr>
            </w:pPr>
          </w:p>
        </w:tc>
      </w:tr>
      <w:tr>
        <w:trPr>
          <w:trHeight w:val="223"/>
        </w:trPr>
        <w:tc>
          <w:tcPr>
            <w:tcW w:w="8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Hardware</w:t>
            </w:r>
          </w:p>
        </w:tc>
        <w:tc>
          <w:tcPr>
            <w:tcW w:w="12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Electrical</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Fabrications</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9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Mechanical</w:t>
            </w: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8"/>
        </w:trPr>
        <w:tc>
          <w:tcPr>
            <w:tcW w:w="8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Approximately 61% of Gexpro Services’ suppliers are based in the United States, which helps limit the risk of increased freight and logistics costs; however, many of these suppliers source their products from overseas. Gexpro Services maintains favorable and long-tenured relationships with approximately 3,300 suppliers, with the largest supplier representing</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jc w:val="both"/>
        <w:spacing w:after="0" w:line="282" w:lineRule="auto"/>
        <w:rPr>
          <w:sz w:val="20"/>
          <w:szCs w:val="20"/>
          <w:color w:val="auto"/>
        </w:rPr>
      </w:pPr>
      <w:r>
        <w:rPr>
          <w:rFonts w:ascii="Times New Roman" w:cs="Times New Roman" w:eastAsia="Times New Roman" w:hAnsi="Times New Roman"/>
          <w:sz w:val="18"/>
          <w:szCs w:val="18"/>
          <w:color w:val="auto"/>
        </w:rPr>
        <w:t>approximately 2% of Gexpro Services’ total product purchases in 2025 while the top 10 suppliers represented approximately 16% of total product purchases in 2025.</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Human Capital Resources </w:t>
      </w:r>
      <w:r>
        <w:rPr>
          <w:rFonts w:ascii="Times New Roman" w:cs="Times New Roman" w:eastAsia="Times New Roman" w:hAnsi="Times New Roman"/>
          <w:sz w:val="18"/>
          <w:szCs w:val="18"/>
          <w:color w:val="auto"/>
        </w:rPr>
        <w:t>— Gexpro Services supports a culture of continuous improvement and integrity. Gexpro Services prides itself on being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full value provider to its customers supported with a team committed to providing world-class customer service. As of December 31, 2025, Gexpro Services’ workforce had approximately 800 individuals, comprised of approximately 250 in sales and marketing, 460 in operation and distribution and 90 in management and administration.</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Canada Branch Division</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Canada Branch Division is a wholesale distributor providing product and service solutions for the industrial, government, commercial and residential contractor markets for the Canadian MRO market.</w:t>
      </w:r>
    </w:p>
    <w:p>
      <w:pPr>
        <w:spacing w:after="0" w:line="18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Background and Operations </w:t>
      </w:r>
      <w:r>
        <w:rPr>
          <w:rFonts w:ascii="Times New Roman" w:cs="Times New Roman" w:eastAsia="Times New Roman" w:hAnsi="Times New Roman"/>
          <w:sz w:val="18"/>
          <w:szCs w:val="18"/>
          <w:color w:val="auto"/>
        </w:rPr>
        <w:t>— Canada Branch Division combines the operations of our Bolt Supply House (“Bolt”) and Source Atlantic subsidiaries,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distribute industrial MRO supplies, safety products, fasteners, and related value-add services to the Canadian MRO market primarily through the sale of products to its walk-up customers through 35 branch locations.</w:t>
      </w:r>
    </w:p>
    <w:p>
      <w:pPr>
        <w:spacing w:after="0" w:line="187"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Strategic Focus — </w:t>
      </w:r>
      <w:r>
        <w:rPr>
          <w:rFonts w:ascii="Times New Roman" w:cs="Times New Roman" w:eastAsia="Times New Roman" w:hAnsi="Times New Roman"/>
          <w:sz w:val="18"/>
          <w:szCs w:val="18"/>
          <w:color w:val="auto"/>
        </w:rPr>
        <w:t>Canada Branch Division combines the operations of our Bolt and Source Atlantic subsidiaries, which distribute industrial MRO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supplies, safety products, fasteners, power tools and related value-add services to the Canadian MRO market through the sale of products and services via warehouse shipments and to its walk-up customers through 35 branch locations.</w:t>
      </w:r>
    </w:p>
    <w:p>
      <w:pPr>
        <w:spacing w:after="0" w:line="21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Industry and Competition </w:t>
      </w:r>
      <w:r>
        <w:rPr>
          <w:rFonts w:ascii="Times New Roman" w:cs="Times New Roman" w:eastAsia="Times New Roman" w:hAnsi="Times New Roman"/>
          <w:sz w:val="18"/>
          <w:szCs w:val="18"/>
          <w:color w:val="auto"/>
        </w:rPr>
        <w:t>— The MRO market is comprised of companies that buy and stock products in bulk and supply these products to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an as needed basis. The customer benefits from our knowledge and the convenience of purchasing smaller quantities from stock maintained by us.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is a significant amount of competition within the Canadian MRO industry. We encounter competition from regional and local distributors in Canada as well as international distributors and manufacturers. Some competitors have greater financial and personnel resources, handle more extensive lines of merchandise, operate larger facilities and price some merchandise more competitively than we do.</w:t>
      </w:r>
    </w:p>
    <w:p>
      <w:pPr>
        <w:spacing w:after="0" w:line="20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 During 2025, the Canada Branch Division segment sold products to over 42,000 distinct customers. Canada Branch Division’s largest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accounted for approximately 5% of consolidated revenue. Approximately 100% of Canada Branch Division’s revenue was generated in Canada. Although seasonality is not significant, due to fewer selling days and less activity during the holiday season, revenue in the fourth quarter is historically lower than the first three quarters of the year.</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ind w:left="340"/>
        <w:spacing w:after="0"/>
        <w:rPr>
          <w:sz w:val="20"/>
          <w:szCs w:val="20"/>
          <w:color w:val="auto"/>
        </w:rPr>
      </w:pPr>
      <w:r>
        <w:rPr>
          <w:rFonts w:ascii="Times New Roman" w:cs="Times New Roman" w:eastAsia="Times New Roman" w:hAnsi="Times New Roman"/>
          <w:sz w:val="18"/>
          <w:szCs w:val="18"/>
          <w:color w:val="auto"/>
        </w:rPr>
        <w:t>Canada Branch Division’s customers operate in a variety of industries. Revenue percentages by customer end markets in 2025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End Markets</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 Canada</w:t>
            </w:r>
          </w:p>
        </w:tc>
        <w:tc>
          <w:tcPr>
            <w:tcW w:w="0" w:type="dxa"/>
            <w:vAlign w:val="bottom"/>
          </w:tcPr>
          <w:p>
            <w:pPr>
              <w:spacing w:after="0"/>
              <w:rPr>
                <w:sz w:val="1"/>
                <w:szCs w:val="1"/>
                <w:color w:val="auto"/>
              </w:rPr>
            </w:pPr>
          </w:p>
        </w:tc>
      </w:tr>
      <w:tr>
        <w:trPr>
          <w:trHeight w:val="243"/>
        </w:trPr>
        <w:tc>
          <w:tcPr>
            <w:tcW w:w="9020" w:type="dxa"/>
            <w:vAlign w:val="bottom"/>
            <w:gridSpan w:val="2"/>
            <w:vMerge w:val="continue"/>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Branch Division Revenue</w:t>
            </w:r>
          </w:p>
        </w:tc>
        <w:tc>
          <w:tcPr>
            <w:tcW w:w="0" w:type="dxa"/>
            <w:vAlign w:val="bottom"/>
          </w:tcPr>
          <w:p>
            <w:pPr>
              <w:spacing w:after="0"/>
              <w:rPr>
                <w:sz w:val="1"/>
                <w:szCs w:val="1"/>
                <w:color w:val="auto"/>
              </w:rPr>
            </w:pPr>
          </w:p>
        </w:tc>
      </w:tr>
      <w:tr>
        <w:trPr>
          <w:trHeight w:val="223"/>
        </w:trPr>
        <w:tc>
          <w:tcPr>
            <w:tcW w:w="8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Machining and manufacturing</w:t>
            </w:r>
          </w:p>
        </w:tc>
        <w:tc>
          <w:tcPr>
            <w:tcW w:w="12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Contractors</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and military</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r>
        <w:trPr>
          <w:trHeight w:val="229"/>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Forestry</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30"/>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Utilities</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29"/>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Wholesale</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29"/>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Mining and oil &amp; gas</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30"/>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Shipbuilding and repair</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29"/>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29"/>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Engineering and consulting</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30"/>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
        </w:trPr>
        <w:tc>
          <w:tcPr>
            <w:tcW w:w="8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Canada Branch Division’s customers include a wide range of purchasers of industrial supply products from small independent contractors to large manufacturers, and governmental and military accounts.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020" w:type="dxa"/>
            <w:vAlign w:val="bottom"/>
            <w:gridSpan w:val="2"/>
          </w:tcPr>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Products </w:t>
            </w:r>
            <w:r>
              <w:rPr>
                <w:rFonts w:ascii="Times New Roman" w:cs="Times New Roman" w:eastAsia="Times New Roman" w:hAnsi="Times New Roman"/>
                <w:sz w:val="18"/>
                <w:szCs w:val="18"/>
                <w:color w:val="auto"/>
              </w:rPr>
              <w:t>— Canada Branch Division’s revenue percentages by product categories in 2025 were as follows:</w:t>
            </w: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9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Product Category</w:t>
            </w:r>
          </w:p>
        </w:tc>
        <w:tc>
          <w:tcPr>
            <w:tcW w:w="22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Percentage of Canada</w:t>
            </w:r>
          </w:p>
        </w:tc>
        <w:tc>
          <w:tcPr>
            <w:tcW w:w="0" w:type="dxa"/>
            <w:vAlign w:val="bottom"/>
          </w:tcPr>
          <w:p>
            <w:pPr>
              <w:spacing w:after="0"/>
              <w:rPr>
                <w:sz w:val="1"/>
                <w:szCs w:val="1"/>
                <w:color w:val="auto"/>
              </w:rPr>
            </w:pPr>
          </w:p>
        </w:tc>
      </w:tr>
      <w:tr>
        <w:trPr>
          <w:trHeight w:val="243"/>
        </w:trPr>
        <w:tc>
          <w:tcPr>
            <w:tcW w:w="9020" w:type="dxa"/>
            <w:vAlign w:val="bottom"/>
            <w:gridSpan w:val="2"/>
            <w:vMerge w:val="continue"/>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Branch Division Revenue</w:t>
            </w:r>
          </w:p>
        </w:tc>
        <w:tc>
          <w:tcPr>
            <w:tcW w:w="0" w:type="dxa"/>
            <w:vAlign w:val="bottom"/>
          </w:tcPr>
          <w:p>
            <w:pPr>
              <w:spacing w:after="0"/>
              <w:rPr>
                <w:sz w:val="1"/>
                <w:szCs w:val="1"/>
                <w:color w:val="auto"/>
              </w:rPr>
            </w:pPr>
          </w:p>
        </w:tc>
      </w:tr>
      <w:tr>
        <w:trPr>
          <w:trHeight w:val="223"/>
        </w:trPr>
        <w:tc>
          <w:tcPr>
            <w:tcW w:w="8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Safety</w:t>
            </w:r>
          </w:p>
        </w:tc>
        <w:tc>
          <w:tcPr>
            <w:tcW w:w="12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Fasteners</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Plumbing</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Mobile valve</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Tools and equipment</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r>
        <w:trPr>
          <w:trHeight w:val="230"/>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Industrial - Other</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29"/>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30"/>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Cutting tools and abrasives</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30"/>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transmission</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30"/>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Engineering</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29"/>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Canada Branch Division offers over 85,000 different products of which approximately 53,700 products are maintained in distribution centers and physical store branch locations. Canada Branch Division strives to carry sufficient inventory to ensure product availability. Accurate forecasting of customer demand is essential to establish the proper level of inventory for each product. Inventory levels need to be sufficient to meet customer demand while avoiding the costs of stocking excess items.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2025, Canada Branch Division purchased products from approximately 3,000 suppliers with the largest supplier representing approximately 9% of total product purchases in 2025. Canada Branch Division maintains favorable and long-tenured relationships with its suppliers. The loss of one core supplier could affect operations by hindering the ability to provide full service to customers.</w:t>
      </w:r>
    </w:p>
    <w:p>
      <w:pPr>
        <w:spacing w:after="0" w:line="201"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Human Capital Resources — </w:t>
      </w:r>
      <w:r>
        <w:rPr>
          <w:rFonts w:ascii="Times New Roman" w:cs="Times New Roman" w:eastAsia="Times New Roman" w:hAnsi="Times New Roman"/>
          <w:sz w:val="18"/>
          <w:szCs w:val="18"/>
          <w:color w:val="auto"/>
        </w:rPr>
        <w:t>Canada Branch Division supports a culture of continuous improvement and integrity and prides itself on its committed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team that is driven to meet customers’ needs through quality service. As of December 31, 2025,</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jc w:val="both"/>
        <w:spacing w:after="0" w:line="282" w:lineRule="auto"/>
        <w:rPr>
          <w:sz w:val="20"/>
          <w:szCs w:val="20"/>
          <w:color w:val="auto"/>
        </w:rPr>
      </w:pPr>
      <w:r>
        <w:rPr>
          <w:rFonts w:ascii="Times New Roman" w:cs="Times New Roman" w:eastAsia="Times New Roman" w:hAnsi="Times New Roman"/>
          <w:sz w:val="18"/>
          <w:szCs w:val="18"/>
          <w:color w:val="auto"/>
        </w:rPr>
        <w:t>Canada Branch Division’s workforce had approximately 630 individuals: approximately 400 in operation and distribution, 90 in sales and marketing and 140 in management and administration.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file with, or furnish to, the Securities and Exchange Commission (“SEC”) annual reports on Form 10-K, quarterly reports on Form 10-Q, current reports on Form 8-K and, as applicable, amendments to those reports pursuant to Section 13(a) or 15(d) of the Exchange Act. The public can obtain copies of these materials by accessing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In addition, as soon as reasonably practicable after we electronically file such materials with, or furnish such materials to, the SEC, we make copies of such materials available to the public free of charge through our website at </w:t>
      </w:r>
      <w:r>
        <w:rPr>
          <w:rFonts w:ascii="Times New Roman" w:cs="Times New Roman" w:eastAsia="Times New Roman" w:hAnsi="Times New Roman"/>
          <w:sz w:val="18"/>
          <w:szCs w:val="18"/>
          <w:i w:val="1"/>
          <w:iCs w:val="1"/>
          <w:color w:val="auto"/>
        </w:rPr>
        <w:t>www.distributionsolutionsgroup.com</w:t>
      </w:r>
      <w:r>
        <w:rPr>
          <w:rFonts w:ascii="Times New Roman" w:cs="Times New Roman" w:eastAsia="Times New Roman" w:hAnsi="Times New Roman"/>
          <w:sz w:val="18"/>
          <w:szCs w:val="18"/>
          <w:color w:val="auto"/>
        </w:rPr>
        <w:t>. Information on our website is not incorporated by reference into this report. We also make available on our website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Code of Business Conduct, Corporate Governance Principles and the charters of the committees of our Board of Directors.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executive officers of DSG as of February 2, 2026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Year First Named to</w:t>
            </w:r>
          </w:p>
        </w:tc>
        <w:tc>
          <w:tcPr>
            <w:tcW w:w="6680" w:type="dxa"/>
            <w:vAlign w:val="bottom"/>
          </w:tcPr>
          <w:p>
            <w:pPr>
              <w:spacing w:after="0"/>
              <w:rPr>
                <w:sz w:val="17"/>
                <w:szCs w:val="17"/>
                <w:color w:val="auto"/>
              </w:rPr>
            </w:pPr>
          </w:p>
        </w:tc>
      </w:tr>
      <w:tr>
        <w:trPr>
          <w:trHeight w:val="243"/>
        </w:trPr>
        <w:tc>
          <w:tcPr>
            <w:tcW w:w="2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Name</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Age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Present Office</w:t>
            </w:r>
          </w:p>
        </w:tc>
        <w:tc>
          <w:tcPr>
            <w:tcW w:w="6680" w:type="dxa"/>
            <w:vAlign w:val="bottom"/>
          </w:tcPr>
          <w:p>
            <w:pPr>
              <w:ind w:left="3040"/>
              <w:spacing w:after="0"/>
              <w:rPr>
                <w:sz w:val="20"/>
                <w:szCs w:val="20"/>
                <w:color w:val="auto"/>
              </w:rPr>
            </w:pPr>
            <w:r>
              <w:rPr>
                <w:rFonts w:ascii="Times New Roman" w:cs="Times New Roman" w:eastAsia="Times New Roman" w:hAnsi="Times New Roman"/>
                <w:sz w:val="18"/>
                <w:szCs w:val="18"/>
                <w:color w:val="auto"/>
              </w:rPr>
              <w:t>Position</w:t>
            </w:r>
          </w:p>
        </w:tc>
      </w:tr>
      <w:tr>
        <w:trPr>
          <w:trHeight w:val="223"/>
        </w:trPr>
        <w:tc>
          <w:tcPr>
            <w:tcW w:w="2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 Bryan King</w:t>
            </w: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tcBorders>
              <w:top w:val="single" w:sz="8" w:color="CCEEFF"/>
            </w:tcBorders>
            <w:shd w:val="clear" w:color="auto" w:fill="CCEEFF"/>
          </w:tcPr>
          <w:p>
            <w:pPr>
              <w:spacing w:after="0"/>
              <w:rPr>
                <w:sz w:val="19"/>
                <w:szCs w:val="19"/>
                <w:color w:val="auto"/>
              </w:rPr>
            </w:pPr>
          </w:p>
        </w:tc>
        <w:tc>
          <w:tcPr>
            <w:tcW w:w="6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29"/>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Ronald J. Knutson</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20" w:type="dxa"/>
            <w:vAlign w:val="bottom"/>
          </w:tcPr>
          <w:p>
            <w:pPr>
              <w:spacing w:after="0"/>
              <w:rPr>
                <w:sz w:val="19"/>
                <w:szCs w:val="19"/>
                <w:color w:val="auto"/>
              </w:rPr>
            </w:pPr>
          </w:p>
        </w:tc>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r>
      <w:tr>
        <w:trPr>
          <w:trHeight w:val="230"/>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Cesar A. Lanuza</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shd w:val="clear" w:color="auto" w:fill="CCEEFF"/>
          </w:tcPr>
          <w:p>
            <w:pPr>
              <w:spacing w:after="0"/>
              <w:rPr>
                <w:sz w:val="19"/>
                <w:szCs w:val="19"/>
                <w:color w:val="auto"/>
              </w:rPr>
            </w:pPr>
          </w:p>
        </w:tc>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 Lawson Products, Inc.</w:t>
            </w:r>
          </w:p>
        </w:tc>
      </w:tr>
      <w:tr>
        <w:trPr>
          <w:trHeight w:val="229"/>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H. Connors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20" w:type="dxa"/>
            <w:vAlign w:val="bottom"/>
          </w:tcPr>
          <w:p>
            <w:pPr>
              <w:spacing w:after="0"/>
              <w:rPr>
                <w:sz w:val="19"/>
                <w:szCs w:val="19"/>
                <w:color w:val="auto"/>
              </w:rPr>
            </w:pPr>
          </w:p>
        </w:tc>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 Gexpro Services</w:t>
            </w:r>
          </w:p>
        </w:tc>
      </w:tr>
      <w:tr>
        <w:trPr>
          <w:trHeight w:val="229"/>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Barry Litwin</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shd w:val="clear" w:color="auto" w:fill="CCEEFF"/>
          </w:tcPr>
          <w:p>
            <w:pPr>
              <w:spacing w:after="0"/>
              <w:rPr>
                <w:sz w:val="19"/>
                <w:szCs w:val="19"/>
                <w:color w:val="auto"/>
              </w:rPr>
            </w:pPr>
          </w:p>
        </w:tc>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 Test Equity</w:t>
            </w:r>
          </w:p>
        </w:tc>
      </w:tr>
      <w:tr>
        <w:trPr>
          <w:trHeight w:val="234"/>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S. Lambert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Controller and Chief Accounting Officer</w:t>
            </w:r>
          </w:p>
        </w:tc>
      </w:tr>
    </w:tbl>
    <w:p>
      <w:pPr>
        <w:spacing w:after="0" w:line="3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Biographical information for the past five years relating to each of our executive officers is set forth below.</w:t>
      </w:r>
    </w:p>
    <w:p>
      <w:pPr>
        <w:spacing w:after="0" w:line="248"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Mr. King </w:t>
      </w:r>
      <w:r>
        <w:rPr>
          <w:rFonts w:ascii="Times New Roman" w:cs="Times New Roman" w:eastAsia="Times New Roman" w:hAnsi="Times New Roman"/>
          <w:sz w:val="18"/>
          <w:szCs w:val="18"/>
          <w:color w:val="auto"/>
        </w:rPr>
        <w:t>was elected President and Chief Executive Officer in May 2022. Mr. King has also served as a member of the Board of Directors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since 2017 and has served as Chairman of the Board of Directors of the Company since March 2019. Mr. King has a career in investment management spanning over three decades and has served as Chairman or managing partner of several industrial distribution companies. Mr. King is a Principal of Luther King Capital Management Corporation (“LKCM”), an SEC-registered investment adviser, and Founder and Managing Partner of LKCM Capital Group and LKCM Headwater Investments, the private capital investment group of LKCM.</w:t>
      </w:r>
    </w:p>
    <w:p>
      <w:pPr>
        <w:spacing w:after="0" w:line="20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Mr. Knutson </w:t>
      </w:r>
      <w:r>
        <w:rPr>
          <w:rFonts w:ascii="Times New Roman" w:cs="Times New Roman" w:eastAsia="Times New Roman" w:hAnsi="Times New Roman"/>
          <w:sz w:val="18"/>
          <w:szCs w:val="18"/>
          <w:color w:val="auto"/>
        </w:rPr>
        <w:t>has served as Executive Vice President, Chief Financial Officer and Treasurer since April 2014 and has served as Executive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and Chief Financial Officer of the Company since July 2012.</w:t>
      </w:r>
    </w:p>
    <w:p>
      <w:pPr>
        <w:spacing w:after="0" w:line="18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Mr. Lanuza </w:t>
      </w:r>
      <w:r>
        <w:rPr>
          <w:rFonts w:ascii="Times New Roman" w:cs="Times New Roman" w:eastAsia="Times New Roman" w:hAnsi="Times New Roman"/>
          <w:sz w:val="18"/>
          <w:szCs w:val="18"/>
          <w:color w:val="auto"/>
        </w:rPr>
        <w:t>has served as President and Chief Executive Officer of Lawson since April 2022. Prior to joining the Company, Mr. Lanuza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Executive Officer and Director of Jon-Don, LLC from September 2018 through April 2022.</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Mr. Connors </w:t>
      </w:r>
      <w:r>
        <w:rPr>
          <w:rFonts w:ascii="Times New Roman" w:cs="Times New Roman" w:eastAsia="Times New Roman" w:hAnsi="Times New Roman"/>
          <w:sz w:val="18"/>
          <w:szCs w:val="18"/>
          <w:color w:val="auto"/>
        </w:rPr>
        <w:t>has served as President and Chief Executive Officer of Gexpro Services since 2019.</w:t>
      </w:r>
    </w:p>
    <w:p>
      <w:pPr>
        <w:spacing w:after="0" w:line="25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Mr. Litwin </w:t>
      </w:r>
      <w:r>
        <w:rPr>
          <w:rFonts w:ascii="Times New Roman" w:cs="Times New Roman" w:eastAsia="Times New Roman" w:hAnsi="Times New Roman"/>
          <w:sz w:val="18"/>
          <w:szCs w:val="18"/>
          <w:color w:val="auto"/>
        </w:rPr>
        <w:t>has served as President and Chief Executive Officer of Test Equity since July 2025. Prior to joining the Company, Mr. Litwin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Executive Officer of Global Industrial Company, an industrial and MRO distribution company, publicly traded on the NYSE from January 2019 through August 2024.</w:t>
      </w:r>
    </w:p>
    <w:p>
      <w:pPr>
        <w:spacing w:after="0" w:line="19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Mr. Lambert </w:t>
      </w:r>
      <w:r>
        <w:rPr>
          <w:rFonts w:ascii="Times New Roman" w:cs="Times New Roman" w:eastAsia="Times New Roman" w:hAnsi="Times New Roman"/>
          <w:sz w:val="18"/>
          <w:szCs w:val="18"/>
          <w:color w:val="auto"/>
        </w:rPr>
        <w:t>has served as Vice President, Controller and Chief Accounting Officer of the Company since June 2021. Prior to joining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Lambert served as the Corporate Controller, and previously the Assistant Controller, of Univar Solutions, a chemical distribution company, publicly traded on the NYSE from June 2017 through June 2021. Prior to these roles, Mr. Lambert held progressive roles within finance and accounting at several other publicly traded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operating results depend on many factors and are subject to various risks and uncertainties, including those discussed below. The material risks and uncertainties known to us and described below may negatively affect our business, financial condition and results of operations. Additional risks and uncertainties not presently known to us or that we currently deem immaterial may also impair or otherwise adversely affect our business, financial condition and results of operations, and may give rise to or amplify many of the risks discussed below.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Risks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significant portion of our inventory may become obsolete.</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business strategy requires us to carry a significant amount of inventory to meet rapid processing of customer orders. If our inventory forecasting and production planning processes result in inventory levels exceeding the levels demanded by customers or should our customers decrease their orders with us, our operating results could be adversely affected due to costs of carrying the inventory and additional inventory write-offs for excess and obsolete inventory, which could materially adversely affect our business, financial condition and results of operations.</w:t>
      </w:r>
    </w:p>
    <w:p>
      <w:pPr>
        <w:spacing w:after="0" w:line="203"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Work stoppages and other disruptions at transportation centers or shipping ports, along with other supply chain disruptions, may adversely affect our ability to obtain inventory and make deliveries to our customers.</w:t>
      </w:r>
    </w:p>
    <w:p>
      <w:pPr>
        <w:spacing w:after="0" w:line="18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ability to rapidly process customer orders is an integral component of our overall business strategy. Interruptions at our company-operated facilities or disruptions at a major transportation center or shipping port, due to events such as severe weather, labor interruptions, natural disasters, acts of terrorism, trade restrictions, government-imposed quotas or other events, could adversely affect our ability to maintain core products in inventory or deliver products to our customers on a timely basis or adversely affect demand for our products, which may in turn adversely affect our business, financial condition and results of operations. Similarly, other supply chain disruptions have impacted our ability to maintain certain core products in inventory and deliver products to customers on a timely basis and may continue to impact our ability to do so. Such supply chain disruptions may adversely affect our business, financial condition and results of operations.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our customers, product mix and pricing strategy could cause our gross profit margin percentage to decline in the future.</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From time to time, our businesses have experienced overall changes in the product mix demand of customers. When customers or product mix changes, there can be no assurance that we will be able to maintain our gross profit margins. Changes in our customers, product mix, volume of orders or prices charged, along with additional freight costs or lower productivity levels, could cause our gross profit margin percentage to decline. Our gross profit margin percentage may also come under pressure in the future if we increase the percentage of national accounts in our customer base, as sales to these customers are generally at lower margins.</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Disruptions of our information and communication systems could adversely affect the Company.</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depend on our information and communication systems to process orders, purchase and manage inventory, maintain cost-effective operations, sell and ship products, manage accounts receivable collections and serve our customers. Disruptions in the operation of information and communication systems can occur due to a variety of factors including power outages, hardware failure, programming faults, cyber incidents and human error. Disruptions in the operation of our information and communication systems, whether over a short or an extended period of time or affecting one or multiple distribution centers, could have a material adverse effect on our business, financial condition and results of operations.</w:t>
      </w:r>
    </w:p>
    <w:p>
      <w:pPr>
        <w:spacing w:after="0" w:line="206"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Cyber-attacks or other information security incidents could have a material adverse effect on our business strategy, results of operations or financial condition and subject us to additional legal costs.</w:t>
      </w:r>
    </w:p>
    <w:p>
      <w:pPr>
        <w:spacing w:after="0" w:line="18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increasingly dependent on digital technology to process and record financial and operating data and communicate with our employees, customers, suppliers and other business partners. During the normal course of business we receive, retain and transmit certain confidential information that our customers provide to purchase products or services or to otherwise communicate with us, as well as certain potentially sensitive information about our employees and other persons and entities.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technologies, systems, networks and data and information processes (and those of our customers, suppliers and other business partners) have been, and may in the future be, the target of cyber-attacks and/or information security incidents that may have resulted in, or may in the future result in, the unauthorized release, misuse, loss or destruction of proprietary, personal and other information, or other disruption of our business operations, including compromise of our email systems. For example, from time to time our email systems (and those of our customers, suppliers and other business partners communicating with us) have been subjected to malicious attacks, including phishing attacks. Such attacks or incidents could have a material adverse effect on our business strategy, results of operations or financial condition and subject us to additional legal costs.</w:t>
      </w:r>
    </w:p>
    <w:p>
      <w:pPr>
        <w:spacing w:after="0" w:line="21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techniques used by criminals to obtain unauthorized access to sensitive data change frequently and often are not recognizable until launched against a target or until a breach has already occurred. Accordingly, we may be unable to anticipate these techniques or implement adequate preventative measures. In addition, we are exposed to growing and evolving risks arising from the use of AI technologies by bad actors to commit fraud, misappropriate funds and facilitate cyberattacks. As cyber threats continue to evolve, we may be required to expend additional resources to continue to modify or enhance our protective measures or to investigate and fix any information security vulnerabilities.</w:t>
      </w:r>
    </w:p>
    <w:p>
      <w:pPr>
        <w:spacing w:after="0" w:line="21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maintain and have access to data and information that is subject to privacy and security laws, data protection laws and applicable regulations. The interpretation and application of such laws, including federal, state and international laws, relating to the collection, use, retention, disclosure, security and transfer of personally identifiable data in the United States (including but not limited to the California Consumer Privacy Act and the California Privacy Rights Act), Europe (including but not limited to the European Union’s General Data Protection Regulation) and elsewhere, are uncertain and evolving. Despite our efforts to protect such information, cyber, privacy or security incidents, or misplaced or lost data could have a materially adverse impact on our business strategy, results of operations or financial condition and may divert management and employee attention from other business and growth initiatives.</w:t>
      </w:r>
    </w:p>
    <w:p>
      <w:pPr>
        <w:spacing w:after="0" w:line="21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increased use of AI may impact our industry and the markets in which we compete, and the development and use of AI presents potential competitive and other risks.</w:t>
      </w:r>
    </w:p>
    <w:p>
      <w:pPr>
        <w:spacing w:after="0" w:line="18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begun incorporating AI capabilities into our business. We have also increased our investments in developing, managing and implementing AI for our business. The increased use of AI may have a significant impact on customer demand and market dynamics in our industry and there may be a need to increase the rate of adoption of AI to maintain competitiveness. AI presents risks, challenges, and unintended consequences that could affect its rate and success of adoption, and therefore our business, and there is no assurance that our use of AI or incorporation of AI capabilities into our business will benefit our business. If we fail to use AI to improve our operations as anticipated or as well as our competitors, this could have a materially adverse impact on our business strategy, results of operations or financial condition. In addition, any use of AI by us in a manner that is not in compliance with applicable law or any of our contractual or other obligations could also lead to regulatory or legal action, potential liability, loss of business, and other negative effects that could have a materially adverse impact on our business strategy, results of operations or financial condition.</w:t>
      </w:r>
    </w:p>
    <w:p>
      <w:pPr>
        <w:spacing w:after="0" w:line="21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inability to successfully recruit, integrate and retain productive sales representatives could adversely affect our business, financial condition and operating results.</w:t>
      </w:r>
    </w:p>
    <w:p>
      <w:pPr>
        <w:spacing w:after="0" w:line="1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committed to a plan to increase the size of our sales force. A successful expansion in our sales force requires us to identify under-served territories that offer the greatest potential growth opportunity, locate and recruit talented sales representatives, provide them with the proper training, and successfully integrate them into our organization. This expansion will require significant investment in capital and resources. The failure to identify the optimal sales territories, recruit and retain quality sales representatives and provide them with sufficient support could adversely affect our business, financial condition and results of operations.</w:t>
      </w:r>
    </w:p>
    <w:p>
      <w:pPr>
        <w:spacing w:after="0" w:line="21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It is also critical to retain the experienced and productive sales representatives that have historically contributed to the successes of our businesses. Failure to retain a sufficient number of talented, experienced and productive sales representatives could adversely affect our business, financial condition and results of operations.</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Failure to retain talented employees, managers and executives could negatively impact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success depends on, among other things, our ability to attract, develop and retain talented employees, including executives and other key managers. The loss of certain key executives and managers or the failure to attract and develop talented employees could have a material adverse effect on our business, financial condition and results of operations.</w:t>
      </w:r>
    </w:p>
    <w:p>
      <w:pPr>
        <w:spacing w:after="0" w:line="199"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may be difficulties in integrating certain operations of businesses we acquire with our other operations, and the failure to successfully combine those operations within our expected timetable could adversely affect our future results and the market price of our common stock.</w:t>
      </w:r>
    </w:p>
    <w:p>
      <w:pPr>
        <w:spacing w:after="0" w:line="18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One of our growth strategies is to actively pursue additional acquisition opportunities which complement our business model. However, there are risks associated with pursuing acquisitions, which include the incurrence of significant transaction costs without the guarantee that such transactions will be completed and the risk that we may not realize the anticipated benefits of the acquisition once it is completed. Many of the businesses we acquire involve the combination of businesses that previously operated as independent businesses. Management has devoted and will continue to devote significant attention and resources to combine the business operations of acquired businesses with our other business operations. This may divert the time and attention of our management team and diminish their time to manage our businesses, service existing customers, attract new customers, develop new products, services and strategies and identify other beneficial opportunities.</w:t>
      </w:r>
    </w:p>
    <w:p>
      <w:pPr>
        <w:spacing w:after="0" w:line="21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we fail to successfully identify the right opportunities and/or to successfully integrate the acquired businesses, operations, technologies, systems and/or personnel with those of DSG, or if any significant business activities are interrupted as a result of this process, this could adversely affect our business, financial condition and results of operations.</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it is possible that following an acquisition, the business acquired could lose key employees. If we are not able to fully realize the anticipated savings and synergies from the acquisitions in a timely manner, or the cost to achieve these synergies is greater than expected, we may not fully realize the anticipated benefits (or any benefits) of the acquisitions, or it may take longer than expected to realize any benefits. The failure to fully or timely realize the anticipated benefits could have a negative effect on the market price of DSG common stock.</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inability of management to successfully implement changes in operating processes could lead to disruptions in our operations.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strive to improve operational efficiencies throughout our organization and to identify and initiate changes intended to improve our internal operations. The implementation of changes to our current operations involves a risk that the changes may not work as intended, may disrupt related processes, may not be properly applied or may not result in accomplishing the intended efficiencies. Failure to successfully manage the implementation of these changes could lead to disruptions in our operations.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operate in highly competitive markets.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marketplaces in which we operate are highly competitive. Our competitors include large and small companies with similar or greater market presence, name recognition, and financial, marketing, and other resources. We believe the competition will continue to challenge our business with their product selection, financial resources and services.</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recognize impairment charges for goodwill and other intangible assets.</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a result of our acquisitions, we have recorded a significant amount of goodwill and other intangible assets on our consolidated balance sheet as of December 31, 2025. In accordance with generally accepted accounting principles in the United States (“GAAP”), our management periodically assesses our goodwill and other intangible assets to determine if they are impaired. Significant negative industry or economic trends, disruptions to our business, an inability to effectively integrate acquired businesses, unexpected significant changes, planned changes in use of the assets, divestitures and market capitalization declines may impair goodwill and other intangible assets. Any charges relating to such impairments could materially and adversely affect our results of operations in the periods recognized, which could result in an adverse effect on the market price of DSG common stock.</w:t>
      </w:r>
    </w:p>
    <w:p>
      <w:pPr>
        <w:spacing w:after="0" w:line="210" w:lineRule="exact"/>
        <w:rPr>
          <w:sz w:val="20"/>
          <w:szCs w:val="20"/>
          <w:color w:val="auto"/>
        </w:rPr>
      </w:pPr>
    </w:p>
    <w:p>
      <w:pPr>
        <w:ind w:right="2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that affect governmental and other tax-supported entities, including but not limited to changes arising from geopolitical instability and military hostilities, could negatively impact our revenue and earnings.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portion of our revenue is derived from the United States military and other governmental and tax-supported entities. These entities are largely dependent upon government budgets and require adherence to certain laws and regulations, including sanctions. Such sanctions could include restrictions on selling or importing goods, services, or technology in or from affected regions and travel bans and asset freezes impacting connected individuals and political, military, business, and financial organizations. In addition, geopolitical instability and military hostilities, such as the Russia-Ukraine military conflict and United States military operations in Venezuela, could negatively impact our business. Although we have not, do not currently and do not plan to conduct business operations in Russia, Belarus, Ukraine or Venezuela, it is not possible to predict the broader consequences of these conflicts, which could include sanctions, embargoes or other geopolitical instability. Any decrease in the levels of defense and other governmental spending or the introduction of more stringent governmental regulations and oversight could lead to reduced revenue or an increase in compliance costs which would adversely affect our business, financial condition and results of operations.</w:t>
      </w:r>
    </w:p>
    <w:p>
      <w:pPr>
        <w:spacing w:after="0" w:line="21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evaluate our internal controls over financial reporting under Section 404 of the Sarbanes-Oxley Act of 2002 and any adverse results from such evaluation, and any failure to maintain effective internal controls over financial reporting, could result in a loss of investor confidence in our financial reports and could have an adverse effect on our stock price.</w:t>
      </w:r>
    </w:p>
    <w:p>
      <w:pPr>
        <w:spacing w:after="0" w:line="2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Section 404 of the Sarbanes-Oxley Act of 2002 and applicable SEC rules, we are required to include in each Annual Report on Form 10-K a report by our management on our internal control over financial reporting. This assessment must include disclosure of any material weaknesses in our internal control over financial reporting identified by management. Each year, we must prepare or update the process documentation and perform the evaluation needed to comply with Section 404 of the Sarbanes-Oxley Act of 2002 and applicable SEC rules in providing this report. During this process, if our management identifies one or more material weaknesses in our internal control over financial reporting, we will be unable to assert such internal control is effective. Ensuring that we have adequate internal financial and accounting controls and procedures in place is a costly and time-consuming exercise that needs to be re-evaluated frequently. We and our independent auditors may in the future discover areas of our internal controls that need further attention and improvement, particularly with respect to any other businesses that we decide to acquire in the future.</w:t>
      </w:r>
    </w:p>
    <w:p>
      <w:pPr>
        <w:spacing w:after="0" w:line="2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One of our growth strategies is to actively pursue additional acquisition opportunities which complement our business model. These acquired businesses are typically private companies and may not have in place the financial organization, reporting and controls which are required for a U.S. public company. The cost of implementing this type of financial organization, reporting and controls in respect of the acquired business and integrating their financial reporting processes with our financial reporting processes may be significant. Limitations in the acquired businesses’ financial organization, reporting and controls, or an inability to effectively integrate their financial reporting processes with our financial reporting processes, has in the past resulted in, and may in the future lead to, material weaknesses in our internal controls. These limitations could also lead to a violation of our indebtedness covenants or cause us to miss an SEC reporting deadline or otherwise fail to comply with an applicable law or regulation.</w:t>
      </w:r>
    </w:p>
    <w:p>
      <w:pPr>
        <w:spacing w:after="0" w:line="21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Implementing any appropriate changes to our internal controls may require specific compliance training, entail substantial costs in order to modify our existing accounting systems or those of the companies that we acquire, and take a material period of time to complete. However, such changes may not be effective in maintaining the adequacy of our internal controls, and any failure to maintain that adequacy, or consequent inability to produce accurate financial statements on a timely basis, could increase our operating costs and could harm our ability to operate our business. Any failure to implement required new or improved controls, or difficulties encountered in their implementation, could harm our operating results or cause us to fail to meet our reporting obligations. Any failure to maintain effective internal controls over financial reporting, or any investor perception that our internal controls are inadequate or that we are unable to produce accurate financial statements on a timely, consistent basis, may result in a loss of investor confidence in our financial reports and may adversely affect our stock price. Any failure to maintain effective internal controls over financial reporting or to comply with Section 404 of the Sarbanes-Oxley Act of 2002 and applicable SEC rules could also potentially subject us to sanctions or investigations by the SEC, Nasdaq or other regulatory authorities.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Financing Risks</w:t>
      </w:r>
    </w:p>
    <w:p>
      <w:pPr>
        <w:spacing w:after="0" w:line="252"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significant amount of indebtedness, and our significant indebtedness could adversely affect our business, financial condition and results of operations.</w:t>
      </w:r>
    </w:p>
    <w:p>
      <w:pPr>
        <w:spacing w:after="0" w:line="18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had $704.4 million of indebtedness as of December 31, 2025, which includes a significant amount of indebtedness under our Amended Credit Agreement (as defined in Note 9 – Debt in Item 8. Financial Statements and Supplementary Data). In addition, we may be able to incur a significant amount of additional indebtedness, subject to the terms and restrictions of our Amended Credit Agreement. Our indebtedness could have significant consequences on our future operations, including:</w:t>
      </w:r>
    </w:p>
    <w:p>
      <w:pPr>
        <w:spacing w:after="0" w:line="207" w:lineRule="exact"/>
        <w:rPr>
          <w:sz w:val="20"/>
          <w:szCs w:val="20"/>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of default if we fail to comply with the financial and other covenants contained in the Amended Credit Agreement and/or other agreements governing our debt instruments, which could result in all of the debt becoming immediately due and payable or require us to negotiate an amendment to financial or other covenants that could cause us to incur additional fees and expenses;</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availability of our cash flow to fund working capital, capital expenditures, investments, acquisitions and other general corporate purposes, and limiting our ability to obtain additional financing for these purposes;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and increasing our vulnerability to, changes in our business, the industries in which we operate, and the overall economy;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buy back common stock or pay dividends;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any of our competitors that have less debt or are less leveraged;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the impact of adverse economic and industry conditions.</w:t>
      </w:r>
    </w:p>
    <w:p>
      <w:pPr>
        <w:spacing w:after="0" w:line="2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ability to meet our payment and other obligations under our debt instruments will depend on our ability to generate significant cash flow in the future. This, to some extent, is subject to general economic, financial, competitive, legislative and regulatory factors as well as other factors that are beyond our control. We cannot assure that we will generate cash flow from operations, or that future borrowings will be available to us, in an amount sufficient to enable us to meet our indebtedness obligations and to fund other liquidity needs.</w:t>
      </w:r>
    </w:p>
    <w:p>
      <w:pPr>
        <w:spacing w:after="0" w:line="203"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adequately fund our operating and working capital needs through cash generated from operations and borrowings available under our Amended Credit Agreement could negatively impact our ability to invest in our business and maintain our capital structure.</w:t>
      </w:r>
    </w:p>
    <w:p>
      <w:pPr>
        <w:spacing w:after="0" w:line="18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business requires investment in working capital and fixed assets. We expect to fund these investments from cash generated from operations and borrowings available under our Amended Credit Agreement. Failure to generate sufficient cash flow from operations or from our Amended Credit Agreement could cause us to have insufficient funds to operate our business. Adequate funds may not be available when needed or may not be available on favorable terms.</w:t>
      </w:r>
    </w:p>
    <w:p>
      <w:pPr>
        <w:spacing w:after="0" w:line="203"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and operating results could be materially adversely affected if we failed to meet the covenant requirements of our Amended Credit Agreement.</w:t>
      </w:r>
    </w:p>
    <w:p>
      <w:pPr>
        <w:spacing w:after="0" w:line="18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Amended Credit Agreement contains financial and other restrictive covenants. These covenants could adversely affect us by limiting our financial and operating flexibility as well as our ability to plan for and react to market conditions and to meet our capital needs. Failure to meet these covenant requirements could lead to higher financing costs and increased restrictions, reduce or eliminate our ability to borrow funds, result in events of default and accelerate the date on which our indebtedness must be repaid.</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we require more liquidity than is available to us under our Amended Credit Agreement, we may need to raise additional funds through debt or equity offerings which may not be available when needed or may not be available on terms favorable to us. Should funding be insufficient at any time in the future, we may be unable to develop or enhance our products or services, take advantage of business opportunities or respond to competitive pressures, any of which could have a material adverse effect on our business, financial condition and results of operations.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Government efforts to combat inflation, or other interest rate pressures, could lead to higher financing costs.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global macroeconomic environment has experienced challenges in recent years, including high rates of inflation. In response, government entities have taken various actions to combat inflation, such as raising interest rate benchmarks. If there is an increase in inflation, government entities may implement efforts to combat such increase in inflation, which could include, among other things, raising interest rate benchmarks, maintaining interest rate benchmarks at elevated levels and/or failing to lower interest rate benchmarks. Such government efforts, or other interest rate pressures, could lead to higher financing costs and have material adverse effect on our business, financial condition and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Risks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decline.</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price of our common stock could decrease if our financial performance is inadequate or does not meet investors’ expectations, if there is deterioration in the overall market for equities, if large amounts of shares are sold in the market, if there is index trading, or if investors have concerns that our business, financial condition, results of operations and capital requirements are negatively impacted by an economic downturn or any other adverse development.</w:t>
      </w:r>
    </w:p>
    <w:p>
      <w:pPr>
        <w:spacing w:after="0" w:line="20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Entities affiliated with LKCM and J. Bryan King beneficially own a significant majority of the outstanding DSG common stock and, therefore, have significant influence over our Company, which could delay or deter a change in control or other business combination or otherwise cause us to take actions with which you may disagree.</w:t>
      </w:r>
    </w:p>
    <w:p>
      <w:pPr>
        <w:spacing w:after="0" w:line="20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Based on a Schedule 13D filed with the SEC by LKCM and various other persons and entities (as amended through February 12, 2025), entities affiliated with LKCM beneficially owned in the aggregate approximately 36.4 million shares of DSG common stock as of February 12, 2025, representing approximately 78.7% of the outstanding shares of DSG common stock as of December 31, 2025. J. Bryan King, Chairman and Chief Executive Officer of the Company, is a Principal of LKCM. In addition, M. Bradley Wallace, a director of the Company, is a Founding Partner of LKCM Headwater Investments, the private capital investment group of LKCM. As a result, LKCM has significant influence over the outcome of matters requiring a stockholder vote, including the election of directors and the approval of other significant matters, and LKCM’s interests may not align with the interests of other stockholders. This concentration of ownership could also have the effect of delaying or preventing a change of control or other business combination that might be beneficial to our stockholders.</w:t>
      </w:r>
    </w:p>
    <w:p>
      <w:pPr>
        <w:spacing w:after="0" w:line="2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as a result of this concentrated ownership interest of DSG common stock, DSG believes that it qualifies as a “controlled company.” Under Nasdaq Listing Rules, a listed company of which more than 50% of the voting power is held by an individual, group or another company is a “controlled company” and, accordingly, DSG believes that, if it so desired, it would be generally exempt from the requirements of Rule 5605(b), (d) and (e) of the Nasdaq Listing Rules that among other things would otherwise require DSG to have:</w:t>
      </w:r>
    </w:p>
    <w:p>
      <w:pPr>
        <w:spacing w:after="0" w:line="20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DSG Board of Directors comprised of independent directors;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compensation committee comprised solely of independent directors; and</w:t>
      </w:r>
    </w:p>
    <w:p>
      <w:pPr>
        <w:spacing w:after="0" w:line="9" w:lineRule="exact"/>
        <w:rPr>
          <w:rFonts w:ascii="Times New Roman" w:cs="Times New Roman" w:eastAsia="Times New Roman" w:hAnsi="Times New Roman"/>
          <w:sz w:val="18"/>
          <w:szCs w:val="18"/>
          <w:color w:val="auto"/>
        </w:rPr>
      </w:pPr>
    </w:p>
    <w:p>
      <w:pPr>
        <w:jc w:val="both"/>
        <w:ind w:left="660" w:right="20" w:hanging="328"/>
        <w:spacing w:after="0" w:line="25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nominees be selected or recommended to the DSG Board of Directors for selection, either by (1) DSG’s independent directors constituting a majority of the DSG Board of Directors’ independent directors in a vote in which only independent directors participate or (2) a nominating committee comprised solely of independent directors.</w:t>
      </w:r>
    </w:p>
    <w:p>
      <w:pPr>
        <w:spacing w:after="0" w:line="209"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Entities affiliated with LKCM beneficially own a significant number of shares of DSG common stock, and any sales of any such shares or the possibility of any such sales could have a negative effect on the price of DSG common stock.</w:t>
      </w:r>
    </w:p>
    <w:p>
      <w:pPr>
        <w:spacing w:after="0" w:line="1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Entities affiliated with LKCM beneficially own a significant number of shares of DSG common stock. In connection with the Mergers, DSG granted to certain entities affiliated with LKCM certain registration rights with respect to the shares of DSG common stock that DSG issued to those entities in connection with the Mergers. Any sales of any of the shares of DSG common stock held by any entities affiliated with LKCM (whether those shares were acquired by those entities in connection with the Mergers or in other transactions), or the anticipation of the possibility of any such sales, could create downward pressure on the market price of DSG common stock.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violation of federal, state or local environmental protection regulations could lead to significant penalties and fines or other remediation costs.</w:t>
      </w:r>
    </w:p>
    <w:p>
      <w:pPr>
        <w:spacing w:after="0" w:line="25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product offerings include a wide variety of industrial chemicals and other products which are subject to a multitude of federal, state and local regulations. These environmental protection laws change frequently and affect the composition, handling, transportation, storage and disposal of these products. Failure to comply with these regulations could lead to severe penalties and fines for each violation.</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could be affected by changes in taxation.</w:t>
      </w:r>
    </w:p>
    <w:p>
      <w:pPr>
        <w:spacing w:after="0" w:line="25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subject to income taxation at federal and state levels in the United States and to income taxation in numerous non-U.S. jurisdictions. Our results of operations could be adversely affected by changes in the Company’s effective tax rate as a result of changes in the mix of earnings in countries with differing statutory tax rates, changes in the valuation of deferred tax assets, audits by taxing authorities or changes in tax laws, regulations and their interpretation. From time-to-time changes in tax laws or regulations may be proposed or enacted that could adversely affect our overall tax liability. In addition, the Organization for Economic Cooperation and Development (“OECD”), which represents a coalition of member countries, has recommended fundamental tax reform affecting the taxation of multinational corporations, including the Base Erosion and Profit Shifting (“BEPS”) project, which in part aims to address international corporate tax avoidance. The OECD reached agreement among over 140 countries to implement a minimum 15% tax rate on certain multinational enterprises, commonly referred to as Pillar Two. Although the U.S. has not yet enacted legislation to adopt Pillar Two, certain countries in which we operate have already adopted, or are in the process of adopting, legislation to implement Pillar Two. For the year ended December 31, 2025, the Company determined that there was no material impact on our tax provision as a result of Pillar Two. The Company continues to monitor U.S. and global legislative action related to Pillar Two for potential impacts. In addition, changes in applicable tax laws and regulations could affect our ability to realize our deferred tax assets, which could adversely affect our results of operations.</w:t>
      </w:r>
    </w:p>
    <w:p>
      <w:pPr>
        <w:spacing w:after="0" w:line="213"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may become subject to income tax audits, sales tax audits or similar proceedings, and as a result we may incur additional costs and expenses or owe additional taxes, interest and penalties that may negatively impact our operating results.</w:t>
      </w:r>
    </w:p>
    <w:p>
      <w:pPr>
        <w:spacing w:after="0" w:line="18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and its subsidiaries are subject to U.S. federal income tax as well as income tax of multiple state and foreign jurisdictions. The Company’s determination of its tax liability is subject to review by applicable domestic and foreign tax authorities. As of December 31, 2025, we were subject to U.S. federal income tax examinations for the years 2022 through 2024 and income tax examinations from various other jurisdictions for the years 2018 through 2024.</w:t>
      </w:r>
    </w:p>
    <w:p>
      <w:pPr>
        <w:spacing w:after="0" w:line="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timing and resolution of any future tax examinations are subject to significant uncertainty and could result in us having to pay amounts to the applicable tax authority in order to resolve examination of its tax positions. An increase or decrease of tax related to tax examination resolutions could result in a change in our income tax expense and could negatively impact our financial condition and results of operations.</w:t>
      </w:r>
    </w:p>
    <w:p>
      <w:pPr>
        <w:spacing w:after="0" w:line="2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subject us to additional legal and regulatory regimes.</w:t>
      </w:r>
    </w:p>
    <w:p>
      <w:pPr>
        <w:spacing w:after="0" w:line="25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business operations and/or sales in a number of foreign countries. Compliance with diverse legal and regulatory requirements, including in connection with the movement or repatriation of cash, may be costly and time-consuming and require significant resources. Violations could result in significant fines or monetary damages, sanctions, prohibitions or restrictions on doing business and damage to our reputation. In addition, operating in foreign countries requires us to manage the potential conflicts between locally accepted business practices in any given jurisdiction and our obligations to comply with laws and regulations with respect to such jurisdictions, including anti-corruption laws or regulations applicable to DSG, such as the U.S. Foreign Corrupt Practices Act (the “FCPA”) and the UK Bribery Act 2010 (the “UKBA”). The U.S., U.K. and other foreign agencies and authorities have a broad range of civil and criminal penalties they may seek to impose against companies for violations of export controls, the FCPA, the UKBA, and other laws, rules, sanctions, embargoes and regulations, including those established by the Office of Foreign Assets Control. Any violation of these legal requirements, even if prohibited by our policies, procedures and controls, could subject us to criminal or civil enforcement actions or penalties for non-compliance or otherwise have an adverse effect on our business and reputation.</w:t>
      </w: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certain other tax attributes may be subject to limitations.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December 31, 2025, the Company had $21.4 million of U.S. federal net operating loss carryforwards which were generated after 2017 and are not subject to expiration and $85.2 million of various state net operating loss carryforwards which expire at varying dates between 2026 and 2037. Our ability to use our net operating losses and certain other tax attributes may be subject to limitations, which may adversely impact on our future tax liability and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Health Emergencies Risks</w:t>
      </w:r>
    </w:p>
    <w:p>
      <w:pPr>
        <w:spacing w:after="0" w:line="25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Public health emergencies, whether domestic or international, such as the COVID-19 pandemic, may materially adversely affect our business strategy, financial condition or results of operations.</w:t>
      </w:r>
    </w:p>
    <w:p>
      <w:pPr>
        <w:spacing w:after="0" w:line="18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Pandemics, epidemics or disease outbreaks in the U.S. or globally, including new variants of COVID-19, may have a material adverse effect on our business strategy, financial condition or results of operations, as well as on our employees, suppliers, customers, and the general economy. The full effect and estimated length of these disruptions could be difficult to predict by the Company given such an event is affected by a number of factors, many of which could be outside of our control. For example, the COVID-19 pandemic resulted in lost revenue to our Company and adversely affected our financial condition and results of operations by, among other things, limiting our ability to source high demand product, limiting our sales force to perform certain functions due to state or federal stay-at-home orders, causing a slow-down of customer demand for our products and limiting the ability of some customers to pay us on a timely basis.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may be adversely impacted by a downturn in the economy or in certain sectors of the economy.</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decline or uncertainty in the strength of the economy may lead to a decrease in customer spending and may cause certain customers to cancel or delay placing orders. Some of our customers may file for bankruptcy protection, preventing us from collecting on accounts receivable and may result in our stocking excess inventory. Contractions in the credit markets may also cause some of our customers to experience difficulties in obtaining financing, leading to lower sales, delays in the collection of receivables and result in an increase in bad debt expense.</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Adverse economic conditions could also affect our key suppliers and contractors. This could lead us to incur additional expenses or result in delays in shipping products to our customers. Economic uncertainty can make it difficult to accurately predict future order activity and affect our ability to effectively manage inventory levels. There are no assurances that we would be able to establish alternative financing or obtain financing with terms similar to our existing financing arrangements, including our credit agreement.</w:t>
      </w:r>
    </w:p>
    <w:p>
      <w:pPr>
        <w:spacing w:after="0" w:line="203"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energy costs, tariffs, transportation costs and the cost of raw materials used in our products, and other inflationary pressures, could impact our cost of goods and distribution and occupancy expenses, which may result in lower operating margins.</w:t>
      </w:r>
    </w:p>
    <w:p>
      <w:pPr>
        <w:spacing w:after="0" w:line="18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Increases in the cost of raw materials used in our products (e.g., steel, brass, copper), quotas imposed on any cross border supplies within our businesses, increases in or continuation of any tariffs or imposition of any new tariffs, increases in natural gas, electricity and other energy costs and increases in freight and other costs necessary to produce and transport our products, as well as other inflationary pressures, could raise the production costs of our vendors. Those vendors have typically looked to pass their higher costs along to us through price increases. If we are unable to fully pass along any such increased prices and costs through to our customers or to modify our activities, the impact could have an adverse effect on our operating profit margins and financial condition. On the other hand, a decrease in oil prices may result in weaker demand from oil and gas customers in the future, resulting in lower net sales. Changes in trade policies, increases in or continuation of any tariffs or imposition of any new tariffs, and other inflationary pressures could also affect our sourcing of products and ability to secure sufficient products and/or impact the cost or price of our products, with potentially negative impacts on our reported gross profits and results of operations.</w:t>
      </w:r>
    </w:p>
    <w:p>
      <w:pPr>
        <w:spacing w:after="0" w:line="21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Enhanced tariffs, changes in trade policies and changes in import and export regulations of U.S. and foreign governments may have a negative effect on global economic conditions, financial markets and our cost of goods, which may result in lower operating margins.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There is currently significant uncertainty about the future relationship between the United States and various other countries with respect to trade policies, treaties, tariffs and taxes. For example, the U.S. presidential administration has threatened or imposed new or increased tariffs on imports from various countries, including China, Mexico and Canada. These actions have resulted in and are expected to continue to result in retaliatory measures on U.S. goods. If maintained, the tariffs and the potential escalation of trade disputes could pose a significant risk to our business and if we are unable to fully pass along any resulting increased prices and costs through to our customers or to modify our activities, the impact could have an adverse effect on our gross profit margins and financial condition. The extent and duration of the tariffs and the resulting impact on general economic conditions on our business are uncertain and depend on various factors, including negotiations between the United States and affected countries, the responses of other countries or regions, exemptions or exclusions that may be granted, availability and cost of alternative sources of supply, and demand for our products in affected markets. Further, actions we take to adapt to new tariffs or trade restrictions may cause us to modify our operations or forgo business opportunities. Likewise, tariffs and import and export regulations could also limit the availability of our products, prompt our customers to seek alternative products or supply sources and provide an opportunity for competitors not subject to such tariffs to establish a presence in markets where we conduct our business.</w:t>
      </w:r>
    </w:p>
    <w:p>
      <w:pPr>
        <w:spacing w:after="0" w:line="21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Supply chain constraints, inflationary pressure and labor shortages could impact our cost of goods and other costs and expenses, which may result in lower gross profit margins and/or otherwise materially adversely affect our business, financial condition and results of operations.</w:t>
      </w:r>
    </w:p>
    <w:p>
      <w:pPr>
        <w:spacing w:after="0" w:line="18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businesses have been and may continue to be impacted by supply chain constraints, resulting in inflationary pressure on material costs, longer lead times, port congestion, and increased freight costs. This could result in challenges in acquiring and receiving inventory in a timely fashion and fulfilling customer orders. In addition, we have been and may continue to be impacted by labor shortages. This could result in challenges in fulfilling customer orders and can have a negative impact on our operating results as we may be required to utilize higher-cost temporary labor. We have also experienced and continue to experience inflationary pressure in other areas that adversely impact our cost of goods sold and other costs and expenses. While we instituted various price increases during 2023, 2024 and 2025 in response to rising supplier costs, as well as increased transportation and labor costs, there can be no assurance that future cost increases can be partially or fully passed on to customers, or that the timing of such sales price increases will match our supplier cost increases. As a result, we are unable to predict the impact of these constraints on our business, financial condition and results of operations.</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Company is exposed to the risk of foreign currency changes.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number of our subsidiaries are located and operate outside the United States, and each uses the currency in such foreign country as its functional currency. Operating results denominated in foreign currencies are translated into U.S. dollars when consolidated into our financial statements. Therefore, we are exposed to market risk relating to the fluctuation of value of such foreign currencies (including the Canadian dollar, Mexican peso, British pound sterling, the Euro, Danish krone, Brazilian real, Chinese yuan, Turkish lira, Indian rupee, Malaysian ringgit, Indonesian rupiah and Singapore dollar) relative to the U.S. dollar that could adversely affect our financial condition and operating results.</w:t>
      </w:r>
    </w:p>
    <w:p>
      <w:pPr>
        <w:spacing w:after="0" w:line="21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addition, the revolving credit facility under our Amended Credit Agreement is available to be drawn in U.S. dollars, Canadian dollars and any other additional currencies that may be agreed between us and our lenders. Any borrowings in Canadian dollars or any other foreign currency would expose us to market risk relating to the change in the value of such foreign currency in relation to the U.S.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&amp; Strategy</w:t>
      </w:r>
    </w:p>
    <w:p>
      <w:pPr>
        <w:spacing w:after="0" w:line="256"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7"/>
          <w:szCs w:val="17"/>
          <w:color w:val="auto"/>
        </w:rPr>
        <w:t>We are focused on addressing the growing threat of cybersecurity risks that we face in today’s global business environment and have identified cybersecurity as an important enterprise risk. Our cybersecurity risk management program is part of our overall enterprise risk management program, and is focused on identifying, assessing, managing, and remediating material risks from cybersecurity incidents. We rely on risk-based security controls, including access limitations and contractual requirements on third-party service providers, as part of our overall approach of protecting the integrity, availability and confidentiality of our important systems and information. We have an established cyber incident response plan to respond to cyber incidents.</w:t>
      </w:r>
    </w:p>
    <w:p>
      <w:pPr>
        <w:spacing w:after="0" w:line="19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continue to improve our cybersecurity program and processes by investing in preventative measures. We engage consultants and third-party service providers in connection with our cybersecurity risk testing and assessment. These third-party service providers assist us in evaluating our cybersecurity program, provide support for threat monitoring and detection, and scan for vulnerabilities and other cybersecurity events which may pose a significant risk to the Company. We also engage in cybersecurity training, with the employees of certain of our operating companies undergoing compulsory training that enables them to detect and report malware, ransomware and other malicious software or social engineering attempts that may compromise the Company’s information technology systems, and those employees are routinely assessed on this training. Employees are also generally required to complete compulsory training covering the handling of sensitive data. As the cyber landscape evolves, both in our technology systems and in the broader context of the internet and expanding connectivity, management continually updates its cybersecurity approach as part of its effort to safeguard the Company’s sensitive information and assets.</w:t>
      </w:r>
    </w:p>
    <w:p>
      <w:pPr>
        <w:spacing w:after="0" w:line="21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not experienced any cybersecurity incidents in the last four years that have materially affected the business strategy, results of operations, or financial condition of the Company. For more information regarding how cybersecurity threats could materially affect our business strategy, results of operations or financial condition, see “Cyber-attacks or other information security incidents could have a material adverse effect on our business strategy, results of operations or financial condition and subject us to additional legal costs.” in Item 1A. Risk Factors.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Board of Directors has overall responsibility for risk oversight and has delegated the oversight of risks associated with cybersecurity to the Audit Committee. The Audit Committee reports to the Board on our cybersecurity risk management practices and performance, generally on a quarterly basis. The Audit Committee receives reports from senior members of management, including from each of our Chief Information Officers (“CIOs”) (which include the CIO of each of our principal operating companies: Lawson, TestEquity and Gexpro Services), and the internal audit department regarding the cybersecurity risk management program. Among other things, these reports have focused on the following:</w:t>
      </w:r>
    </w:p>
    <w:p>
      <w:pPr>
        <w:spacing w:after="0" w:line="21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cyber risk and cybersecurity developments;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risk governance and oversight;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assessments by third-party experts;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cyber risk metrics and activities;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projects and initiatives.</w:t>
      </w:r>
    </w:p>
    <w:p>
      <w:pPr>
        <w:spacing w:after="0" w:line="23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also established a governance structure under each of the CIOs that oversee investments in systems, resources, and processes as part of the continued maturity of our cybersecurity posture. Our CIOs have collectively over seventy years of service in various roles in the cybersecurity and information technology areas, including over forty years in their current roles or within the industry.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principal executive office is located in Fort Worth, Texas. As of December 31, 2025, we owned or leased multiple properties in the United States and abroad, including office spaces, distribution centers, warehouses and branch retail locations.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Owned and leased properties by reportable segment as of December 31, 2025 are summarized below.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Number of Properties</w:t>
            </w:r>
          </w:p>
        </w:tc>
        <w:tc>
          <w:tcPr>
            <w:tcW w:w="16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040" w:type="dxa"/>
            <w:vAlign w:val="bottom"/>
          </w:tcPr>
          <w:p>
            <w:pPr>
              <w:spacing w:after="0"/>
              <w:rPr>
                <w:sz w:val="14"/>
                <w:szCs w:val="14"/>
                <w:color w:val="auto"/>
              </w:rPr>
            </w:pPr>
          </w:p>
        </w:tc>
        <w:tc>
          <w:tcPr>
            <w:tcW w:w="1180" w:type="dxa"/>
            <w:vAlign w:val="bottom"/>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Lawson</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TestEquity</w:t>
            </w:r>
          </w:p>
        </w:tc>
        <w:tc>
          <w:tcPr>
            <w:tcW w:w="100" w:type="dxa"/>
            <w:vAlign w:val="bottom"/>
          </w:tcPr>
          <w:p>
            <w:pPr>
              <w:spacing w:after="0"/>
              <w:rPr>
                <w:sz w:val="14"/>
                <w:szCs w:val="14"/>
                <w:color w:val="auto"/>
              </w:rPr>
            </w:pPr>
          </w:p>
        </w:tc>
        <w:tc>
          <w:tcPr>
            <w:tcW w:w="16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Gexpro Services</w:t>
            </w:r>
          </w:p>
        </w:tc>
        <w:tc>
          <w:tcPr>
            <w:tcW w:w="168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rPr>
              <w:t>Canada Branch</w:t>
            </w:r>
          </w:p>
        </w:tc>
        <w:tc>
          <w:tcPr>
            <w:tcW w:w="15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All Other</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gridSpan w:val="2"/>
            <w:vMerge w:val="continue"/>
          </w:tcPr>
          <w:p>
            <w:pPr>
              <w:spacing w:after="0"/>
              <w:rPr>
                <w:sz w:val="21"/>
                <w:szCs w:val="21"/>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Division</w:t>
            </w:r>
          </w:p>
        </w:tc>
        <w:tc>
          <w:tcPr>
            <w:tcW w:w="1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Offices</w:t>
            </w:r>
          </w:p>
        </w:tc>
        <w:tc>
          <w:tcPr>
            <w:tcW w:w="11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Distribution centers/warehouses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Branch locations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(2)</w:t>
            </w:r>
          </w:p>
        </w:tc>
        <w:tc>
          <w:tcPr>
            <w:tcW w:w="1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ind w:left="560" w:hanging="228"/>
        <w:spacing w:after="0"/>
        <w:tabs>
          <w:tab w:leader="none" w:pos="560" w:val="left"/>
        </w:tabs>
        <w:numPr>
          <w:ilvl w:val="0"/>
          <w:numId w:val="7"/>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6"/>
          <w:szCs w:val="16"/>
          <w:color w:val="auto"/>
        </w:rPr>
        <w:t>Includes our principal executive office.</w:t>
      </w:r>
    </w:p>
    <w:p>
      <w:pPr>
        <w:ind w:left="560" w:hanging="228"/>
        <w:spacing w:after="0" w:line="191" w:lineRule="auto"/>
        <w:tabs>
          <w:tab w:leader="none" w:pos="560" w:val="left"/>
        </w:tabs>
        <w:numPr>
          <w:ilvl w:val="0"/>
          <w:numId w:val="7"/>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6"/>
          <w:szCs w:val="16"/>
          <w:color w:val="auto"/>
        </w:rPr>
        <w:t>Unoccupied facility related to a discontinued business in a prior year.</w:t>
      </w:r>
    </w:p>
    <w:p>
      <w:pPr>
        <w:spacing w:after="0" w:line="2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While we believe that our facilities are adequate to meet our current needs, we will continue to assess the location and operation of our facilities to determine whether they meet the strategic needs of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a party to various legal proceedings that have arisen in the ordinary course of business. While the Company is unable to predict the outcome of these lawsuits with certainty, it believes that the ultimate resolution will not have, either individually or in the aggregate, a material adverse effect on the Company’s business, consolidated financial position, cash flows, or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left="660" w:right="360" w:hanging="647"/>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Price Data</w:t>
      </w:r>
    </w:p>
    <w:p>
      <w:pPr>
        <w:spacing w:after="0" w:line="243"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The DSG common stock is traded on the Nasdaq Global Select Market under the symbol of DSGR. On February 27, 2026, the closing sales price of our common stock was $29.90 and the number of stockholders of record was 238. We did not declare or pay dividends in 2025, 2024 or 2023 and the Company currently has no plans to declare or pay dividends in the foreseeable future. Dividends are subject to certain restrictions based on terms detailed in our Amended Credit Agreement. Information about our equity compensation plans may be found in Item 12. Security Ownership of Certain Beneficial Owners and Management and Related Stockholder Matters of this report, which is hereby incorporated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Equity Securities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Board of Directors previously authorized a stock repurchase program that permits the Company to repurchase DSG common stock from time to time in open market transactions, privately negotiated transactions or by other methods. In November 2025 the Board of Directors increased the repurchase program by $30.0 million, bringing the total authorized to $67.5 million. We had $32.9 million of remaining availability under the stock repurchase program as of December 31, 2025. The stock repurchase program does not have an expiration date.</w:t>
      </w:r>
    </w:p>
    <w:p>
      <w:pPr>
        <w:spacing w:after="0" w:line="207"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 following table summarizes repurchases of DSG common stock for the three months ended December 31, 2025 under the repurchase program described above and excludes shares withheld from employees to satisfy tax withholding requirements on option exercises and other equity-based transactions. For additional information about our repurchases of DSG common stock, see Note 2 – Summary of Significant Accounting Policies and Note 11 – Stockholders’ Equity in Item 8. Financial Statements and Supplementary Data.</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Period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October 1 through October 31, 2025</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November 1 through November 30, 2025</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1 through December 31, 2025</w:t>
      </w:r>
    </w:p>
    <w:p>
      <w:pPr>
        <w:spacing w:after="0" w:line="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Price Performance Graph</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Approximate Dollar</w:t>
            </w:r>
          </w:p>
        </w:tc>
      </w:tr>
      <w:tr>
        <w:trPr>
          <w:trHeight w:val="184"/>
        </w:trPr>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jc w:val="center"/>
              <w:ind w:right="50"/>
              <w:spacing w:after="0" w:line="184" w:lineRule="exact"/>
              <w:rPr>
                <w:sz w:val="20"/>
                <w:szCs w:val="20"/>
                <w:color w:val="auto"/>
              </w:rPr>
            </w:pPr>
            <w:r>
              <w:rPr>
                <w:rFonts w:ascii="Times New Roman" w:cs="Times New Roman" w:eastAsia="Times New Roman" w:hAnsi="Times New Roman"/>
                <w:sz w:val="18"/>
                <w:szCs w:val="18"/>
                <w:color w:val="auto"/>
                <w:w w:val="99"/>
              </w:rPr>
              <w:t>Value of Shares that</w:t>
            </w:r>
          </w:p>
        </w:tc>
      </w:tr>
      <w:tr>
        <w:trPr>
          <w:trHeight w:val="180"/>
        </w:trPr>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Total Number of Shares</w:t>
            </w:r>
          </w:p>
        </w:tc>
        <w:tc>
          <w:tcPr>
            <w:tcW w:w="100" w:type="dxa"/>
            <w:vAlign w:val="bottom"/>
          </w:tcPr>
          <w:p>
            <w:pPr>
              <w:spacing w:after="0"/>
              <w:rPr>
                <w:sz w:val="15"/>
                <w:szCs w:val="15"/>
                <w:color w:val="auto"/>
              </w:rPr>
            </w:pPr>
          </w:p>
        </w:tc>
        <w:tc>
          <w:tcPr>
            <w:tcW w:w="178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May Yet be Purchased</w:t>
            </w:r>
          </w:p>
        </w:tc>
      </w:tr>
      <w:tr>
        <w:trPr>
          <w:trHeight w:val="175"/>
        </w:trPr>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Purchased as Part of</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Under the Plans or</w:t>
            </w:r>
          </w:p>
        </w:tc>
      </w:tr>
      <w:tr>
        <w:trPr>
          <w:trHeight w:val="189"/>
        </w:trPr>
        <w:tc>
          <w:tcPr>
            <w:tcW w:w="1680" w:type="dxa"/>
            <w:vAlign w:val="bottom"/>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Total Number of</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Average Price</w:t>
            </w:r>
          </w:p>
        </w:tc>
        <w:tc>
          <w:tcPr>
            <w:tcW w:w="17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Publicly Announced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rPr>
              <w:t>Programs</w:t>
            </w:r>
          </w:p>
        </w:tc>
      </w:tr>
      <w:tr>
        <w:trPr>
          <w:trHeight w:val="229"/>
        </w:trPr>
        <w:tc>
          <w:tcPr>
            <w:tcW w:w="1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Shares Purchased</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Paid per Share</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Plans or Programs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center"/>
              <w:ind w:right="50"/>
              <w:spacing w:after="0"/>
              <w:rPr>
                <w:sz w:val="20"/>
                <w:szCs w:val="20"/>
                <w:color w:val="auto"/>
              </w:rPr>
            </w:pPr>
            <w:r>
              <w:rPr>
                <w:rFonts w:ascii="Times New Roman" w:cs="Times New Roman" w:eastAsia="Times New Roman" w:hAnsi="Times New Roman"/>
                <w:sz w:val="18"/>
                <w:szCs w:val="18"/>
                <w:i w:val="1"/>
                <w:iCs w:val="1"/>
                <w:color w:val="auto"/>
              </w:rPr>
              <w:t>(in millions)</w:t>
            </w:r>
          </w:p>
        </w:tc>
      </w:tr>
      <w:tr>
        <w:trPr>
          <w:trHeight w:val="218"/>
        </w:trPr>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58,501</w:t>
            </w:r>
          </w:p>
        </w:tc>
        <w:tc>
          <w:tcPr>
            <w:tcW w:w="80" w:type="dxa"/>
            <w:vAlign w:val="bottom"/>
          </w:tcPr>
          <w:p>
            <w:pPr>
              <w:spacing w:after="0"/>
              <w:rPr>
                <w:sz w:val="18"/>
                <w:szCs w:val="18"/>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100" w:type="dxa"/>
            <w:vAlign w:val="bottom"/>
          </w:tcPr>
          <w:p>
            <w:pPr>
              <w:spacing w:after="0"/>
              <w:rPr>
                <w:sz w:val="18"/>
                <w:szCs w:val="18"/>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58,501</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65,210</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65,210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34"/>
        </w:trPr>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23"/>
        </w:trPr>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-334010</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-633730</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61" w:lineRule="exact"/>
        <w:rPr>
          <w:sz w:val="20"/>
          <w:szCs w:val="20"/>
          <w:color w:val="auto"/>
        </w:rPr>
      </w:pPr>
    </w:p>
    <w:p>
      <w:pPr>
        <w:sectPr>
          <w:pgSz w:w="11900" w:h="16838" w:orient="portrait"/>
          <w:cols w:equalWidth="0" w:num="2">
            <w:col w:w="3340" w:space="720"/>
            <w:col w:w="7180"/>
          </w:cols>
          <w:pgMar w:left="320" w:top="121" w:right="339" w:bottom="1440" w:gutter="0" w:footer="0" w:header="0"/>
          <w:type w:val="continuous"/>
        </w:sectPr>
      </w:pPr>
    </w:p>
    <w:p>
      <w:pPr>
        <w:jc w:val="both"/>
        <w:ind w:firstLine="324"/>
        <w:spacing w:after="0"/>
        <w:rPr>
          <w:sz w:val="20"/>
          <w:szCs w:val="20"/>
          <w:color w:val="auto"/>
        </w:rPr>
      </w:pPr>
      <w:r>
        <w:rPr>
          <w:rFonts w:ascii="Times New Roman" w:cs="Times New Roman" w:eastAsia="Times New Roman" w:hAnsi="Times New Roman"/>
          <w:sz w:val="18"/>
          <w:szCs w:val="18"/>
          <w:i w:val="1"/>
          <w:iCs w:val="1"/>
          <w:color w:val="auto"/>
        </w:rPr>
        <w:t>The following performance graph and related information shall not be deemed “soliciting material” or to be “filed” with the SEC, nor shall such information be incorporated by reference into any future filing under the Securities Act or Exchange Act, except to the extent we specifically incorporate it by reference into such filing.</w:t>
      </w:r>
    </w:p>
    <w:p>
      <w:pPr>
        <w:spacing w:after="0" w:line="225"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The following stock performance graph compares the cumulative total stockholder return of DSG common stock against the Russell 2000 Index and a peer group (the “Peer Group”). The Peer Group is composed of W.W. Grainger, Inc., Fastenal Company, MSC Industrial Direct Co., Inc., Applied Industrial Technologies, Inc., DXP Enterprises, Inc. and Global Industrial Company. This peer group was selected based on a review of publicly available information about these companies and our determination that they are primarily other small-cap industrial companies with a similar margin structure to that of the Company. The graph assumes the value of the investment in our DSG common stock and each index was $100 at December 31, 2020 and all dividends paid by those companies included in the indices were reinvested. The graph is based on historical data and is not necessarily indicative of future performance.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706120</wp:posOffset>
            </wp:positionV>
            <wp:extent cx="5349240" cy="32575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color w:val="auto"/>
              </w:rPr>
              <w:t>December 31,</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23"/>
        </w:trPr>
        <w:tc>
          <w:tcPr>
            <w:tcW w:w="29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2020</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DSG</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107.58</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124.01</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135.17</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107.62</w:t>
            </w:r>
          </w:p>
        </w:tc>
      </w:tr>
      <w:tr>
        <w:trPr>
          <w:trHeight w:val="230"/>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Russell 2000 Index</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114.82</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91.35</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106.82</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119.14</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134.41</w:t>
            </w:r>
          </w:p>
        </w:tc>
      </w:tr>
      <w:tr>
        <w:trPr>
          <w:trHeight w:val="230"/>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Peer Group</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132.79</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129.19</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191.05</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237.35</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255.47</w:t>
            </w: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discussion and analysis of DSG’s financial condition and results of operations should be read in conjunction with the audited consolidated financial statements and related notes included in this Annual Report on Form 10-K.</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section of this Annual Report on Form 10-K generally discusses the years ended December 31, 2025 and 2024 and the year-over-year comparisons between the years ended December 31, 2025 and 2024. Discussions of items for the year ended December 31, 2023, and the year-over-year comparisons between the years ended December 31, 2024 and 2023 that are not included in this Annual Report on Form 10-K can be found in Item 7. Management’s Discussion and Analysis of Financial Condition and Results of Operations in DSG’s Annual Report on Form 10-K for the fiscal year ended December 31, 2024, filed with the SEC on March 6, 2025.</w:t>
      </w:r>
    </w:p>
    <w:p>
      <w:pPr>
        <w:spacing w:after="0" w:line="21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References to “DSG”, the “Company”, “we”, “our” or “us” refer to Distribution Solutions Group, Inc. and all entities consolidated in the accompanying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Organization and Structure</w:t>
      </w:r>
    </w:p>
    <w:p>
      <w:pPr>
        <w:spacing w:after="0" w:line="25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DSG is a multi-platform specialty distribution company providing high touch, value-added distribution solutions to the maintenance, repair and operations (“MRO”), the original equipment manufacturer (“OEM”) and the industrial technologies markets.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manage and report our operating results through four reportable segments: Lawson, TestEquity, Gexpro Services and Canada Branch Division. A summary of our segments is presented below. For additional details about our segments, see Item 1. Business and Note 14 – Segment Information in Item 8. Financial Statements and Supplementary Data.</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Lawson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distributor of specialty products and services to the industrial, commercial, institutional and government MRO marketplace.</w:t>
      </w:r>
    </w:p>
    <w:p>
      <w:pPr>
        <w:spacing w:after="0" w:line="25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TestEquity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distributor of test and measurement equipment and solutions, industrial and electronic production supplies, vendor managed inventory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and converting, fabrication and adhesive solutions from its leading manufacturer partners supporting the aerospace and defense, wireless and communication, semiconductors, industrial electronics and automotive, and electronics manufacturing industries.</w:t>
      </w:r>
    </w:p>
    <w:p>
      <w:pPr>
        <w:spacing w:after="0" w:line="20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Gexpro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global supply chain solutions provider, specializing in the development of mission critical production line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aftermarket and field installation programs.</w:t>
      </w:r>
    </w:p>
    <w:p>
      <w:pPr>
        <w:spacing w:after="0" w:line="18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Canada Branch Division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combines the operations of our Bolt and Source Atlantic subsidiaries, which distribute industrial MRO supplies, safety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fasteners, power tools and related value-add services to the Canadian MRO market through the sale of products and services via warehouse shipments and to its walk-up customers through 35 branch locations.</w:t>
      </w:r>
    </w:p>
    <w:p>
      <w:pPr>
        <w:spacing w:after="0" w:line="2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to these four reportable segments, we have an “All Other” category which includes unallocated DSG holding company costs that are not directly attributable to the ongoing operating activities of our reportable segments.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2025 Debt Amendment</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December 2025, the Company amended and expanded the senior secured facility through 2030. The new facility includes $700 million of term debt and a revolving credit arrangement of $400 million, an increase over the previous revolver capacity of $255 million. Refer to Note 9 – Debt within Item 8. Financial Statements and Supplementary Data for additional information about the Amended Credit Agreement.</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Share Repurchase Increase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7" w:name="page28"/>
    <w:bookmarkEnd w:id="27"/>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November 2025, the Board authorized a $30.0 million increase to the Company’s existing stock repurchase program for shares of DSG common stock. As a result of the additional authorization, the aggregate repurchase authorization under the Company’s repurchase program for shares of DSG common stock increased from $37.5 million to $67.5 million. The remaining availability for stock repurchases under the stock repurchase program was $32.9 million at 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Drivers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DSG believes that the Purchasing Managers Index (“PMI”) published by the Institute for Supply Management is an indicative measure of the relative strength of the economic environment of the industry in which it operates. The PMI is a composite index of economic activity in the U.S. manufacturing sector. A measure of the PMI index above 50 is generally viewed as indicating an expansion of the manufacturing sector while a measure below 50 is generally viewed as representing a contraction. The average monthly PMI was 48.9 in the year ended December 31, 2025, compared to 48.3 in the year ended December 31, 2024, and 47.1 in the year ended December 31, 2023.</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Lawson Sales Drivers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North American MRO market is highly fragmented. Lawson competes for business with several national distributors as well as a large number of regional and local distributors. The MRO business is impacted by the overall strength of the manufacturing sector of the U.S. economy.</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Lawson’s revenue is also influenced by the number of sales representatives and their productivity. Lawson plans to continue concentrating its efforts on increasing the productivity and size of its sales team. Additionally, Lawson drives revenue through the expansion of products sold to existing customers as well as attracting new customers and additional ship-to locations. Lawson also utilizes an inside sales team to help drive field sales representative productivity and also utilizes an e-commerce site to generate sales.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TestEquity Sales Drivers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North American market for test and measurement, industrial, and electronic production supplies is highly fragmented, with competition ranging from global to regional distributors. We believe TestEquity stands out through its portfolio of specialized brands, technical knowledge, and digital platforms, each tailored to serve specific needs across the electronics lifecycle. These brands maintain unique identities and address every stage of the electronics process—from R&amp;D to assembly and ongoing maintenance. This multi-brand approach enables TestEquity to offer an extensive product range, expert support, and tailored technical solutions, positioning it as a trusted partner across diverse customer requirements.</w:t>
      </w:r>
    </w:p>
    <w:p>
      <w:pPr>
        <w:spacing w:after="0" w:line="21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 growth is fueled by TestEquity’s comprehensive catalog of test and measurement equipment, electronic production supplies, and industrial tools, supported by a high-touch, consultative sales model. Strategic acquisitions have expanded its customer base and strengthened recurring rental revenue. We believe that continued investments in e-commerce, rising demand from high-growth sectors like aerospace and telecommunications, and TestEquity’s strong positioning as a preferred vendor amid supplier consolidation will contribute to sustained momentum and long-term value creation.</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Gexpro Services Sales Drivers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global supply chain solutions market is highly fragmented across Gexpro Services’ key vertical segments. Gexpro Services’ competitors range from large global distributors and manufacturers to small regional domestic distributors and manufacturers. Gexpro Services’ revenue is influenced by our OEMs’ production schedules, new product introduction launches, and service project needs.</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Gexpro Services’ strategy is to increase revenue through increasing wallet share with existing customers, customer-led geographic expansion, new customer development in its six key vertical markets and leveraging its portfolio of recent acquisitions to expand its installation and aftermarket services.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Canada Branch Division Sales Drivers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28" w:name="page29"/>
    <w:bookmarkEnd w:id="28"/>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Canada Branch Division combines the operations of our Bolt and Source Atlantic subsidiaries, which distribute industrial MRO supplies, safety products, fasteners, power tools and related value-add services to the Canadian MRO market through the sale of products and services via warehouse shipments and to its walk-up customers through 35 branch locations. Source Atlantic was acquired in 2024 to expand DSG’s operating footprint in the Canadian market.</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Canada Branch Division’s strategy is to grow revenue through increasing wallet share with existing customers, via introduction of new product lines and services in geographic areas that were underserviced previously. Additionally, Canada Branch Division will engage new customers and additional ship-to locations with its national sales team.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Disruptions and Tariffs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continue to be affected by rising supplier costs caused by inflation, and increased tariffs, transportation and labor costs. We have instituted various price increases during 2023, 2024 and 2025 in response to rising supplier costs, increased tariffs, transportation and labor costs in order to attempt to manage our gross profit margins.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Comparability to Prior Periods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results of operations are not directly comparable on a year-over-year basis due to various business combinations. We account for acquisitions under Accounting Standards Codification 805, Business Combinations (“ASC 805”). Accordingly, the results of acquisitions are only included subsequent to their respective acquisition dates. Refer to Note 3 – Business and Asset Acquisitions within Item 8. Financial Statements and Supplementary Data for a description of each acquisition completed in 2024 and the reportable segment that each acquisition’s respective results of operations is included in.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management believes that certain non-GAAP financial measures may provide users of this financial information with additional meaningful comparisons between current results and results in prior operating periods. Management believes that these non-GAAP financial measures can provide additional meaningful reflection of underlying trends of the business because they provide a comparison of historical information that excludes certain infrequently occurring, seasonal or non-operational items that impact the overall comparability. These non-GAAP financial measures should be viewed in addition to, and not as an alternative for, the Company’s reported results prepared in accordance with GAAP.</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Non-GAAP Adjusted EBITDA</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Management believes Adjusted EBITDA is an important measure of the Company’s operating performance and may provide investors with additional meaningful comparisons between current results and results in prior operating periods because Adjusted EBITDA excludes certain non-operational or non-cash items whose fluctuations from period to period do not necessarily correspond to changes in the operating performance of our business and consequently may impact the overall comparability from period to period. We define Adjusted EBITDA as operating income plus depreciation and amortization, stock-based compensation, severance and acquisition related retention costs, costs related to the execution and integration of acquisitions, amortization of fair value step-up resulting from acquisitions and other non-recurring items. Management uses operating income and Adjusted EBITDA to evaluate the performance of its reportable segments. See Note 14 – Segment Information within Item 8. Financial Statements and Supplementary Data for additional information about our reportable segments.</w:t>
      </w:r>
    </w:p>
    <w:p>
      <w:pPr>
        <w:spacing w:after="0" w:line="2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provides a reconciliation of Net income (loss) to Adjusted EBITDA on a consolidated basis and Operating income (loss) to Adjusted EBITDA by segment for the years ended December 31, 2025 and 2024. A reconciliation of Net income (loss) to Adjusted EBITDA by segment is not provided because management does not determine or review net income at the segment level and does not allocate non-operating costs and expenses to its segments, such as income taxes, interest expense, and various other non-operating income and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Net Income (Loss) to Non-GAAP Adjusted EBITDA (Unaudited)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2025</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Gexpro</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Canada</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Lawson</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TestEquity</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3"/>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Branch</w:t>
            </w:r>
          </w:p>
        </w:tc>
        <w:tc>
          <w:tcPr>
            <w:tcW w:w="140" w:type="dxa"/>
            <w:vAlign w:val="bottom"/>
          </w:tcPr>
          <w:p>
            <w:pPr>
              <w:spacing w:after="0"/>
              <w:rPr>
                <w:sz w:val="15"/>
                <w:szCs w:val="15"/>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80" w:type="dxa"/>
            <w:vAlign w:val="bottom"/>
          </w:tcPr>
          <w:p>
            <w:pPr>
              <w:spacing w:after="0"/>
              <w:rPr>
                <w:sz w:val="15"/>
                <w:szCs w:val="15"/>
                <w:color w:val="auto"/>
              </w:rPr>
            </w:pPr>
          </w:p>
        </w:tc>
        <w:tc>
          <w:tcPr>
            <w:tcW w:w="13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Division</w:t>
            </w:r>
          </w:p>
        </w:tc>
        <w:tc>
          <w:tcPr>
            <w:tcW w:w="14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8,345</w:t>
            </w:r>
          </w:p>
        </w:tc>
        <w:tc>
          <w:tcPr>
            <w:tcW w:w="0" w:type="dxa"/>
            <w:vAlign w:val="bottom"/>
          </w:tcPr>
          <w:p>
            <w:pPr>
              <w:spacing w:after="0"/>
              <w:rPr>
                <w:sz w:val="1"/>
                <w:szCs w:val="1"/>
                <w:color w:val="auto"/>
              </w:rPr>
            </w:pPr>
          </w:p>
        </w:tc>
      </w:tr>
      <w:tr>
        <w:trPr>
          <w:trHeight w:val="229"/>
        </w:trPr>
        <w:tc>
          <w:tcPr>
            <w:tcW w:w="3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11,066</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30"/>
        </w:trPr>
        <w:tc>
          <w:tcPr>
            <w:tcW w:w="3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earnout liabilities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55,352</w:t>
            </w:r>
          </w:p>
        </w:tc>
        <w:tc>
          <w:tcPr>
            <w:tcW w:w="0" w:type="dxa"/>
            <w:vAlign w:val="bottom"/>
          </w:tcPr>
          <w:p>
            <w:pPr>
              <w:spacing w:after="0"/>
              <w:rPr>
                <w:sz w:val="1"/>
                <w:szCs w:val="1"/>
                <w:color w:val="auto"/>
              </w:rPr>
            </w:pPr>
          </w:p>
        </w:tc>
      </w:tr>
      <w:tr>
        <w:trPr>
          <w:trHeight w:val="22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18,763</w:t>
            </w: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14,405</w:t>
            </w: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78,263</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80,879</w:t>
            </w:r>
          </w:p>
        </w:tc>
        <w:tc>
          <w:tcPr>
            <w:tcW w:w="0" w:type="dxa"/>
            <w:vAlign w:val="bottom"/>
          </w:tcPr>
          <w:p>
            <w:pPr>
              <w:spacing w:after="0"/>
              <w:rPr>
                <w:sz w:val="1"/>
                <w:szCs w:val="1"/>
                <w:color w:val="auto"/>
              </w:rPr>
            </w:pPr>
          </w:p>
        </w:tc>
      </w:tr>
      <w:tr>
        <w:trPr>
          <w:trHeight w:val="229"/>
        </w:trPr>
        <w:tc>
          <w:tcPr>
            <w:tcW w:w="34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3"/>
                <w:szCs w:val="23"/>
                <w:color w:val="auto"/>
                <w:vertAlign w:val="superscript"/>
              </w:rPr>
              <w:t>(1)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0" w:type="dxa"/>
            <w:vAlign w:val="bottom"/>
          </w:tcPr>
          <w:p>
            <w:pPr>
              <w:spacing w:after="0"/>
              <w:rPr>
                <w:sz w:val="1"/>
                <w:szCs w:val="1"/>
                <w:color w:val="auto"/>
              </w:rPr>
            </w:pPr>
          </w:p>
        </w:tc>
      </w:tr>
      <w:tr>
        <w:trPr>
          <w:trHeight w:val="176"/>
        </w:trPr>
        <w:tc>
          <w:tcPr>
            <w:tcW w:w="34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Severance and acquisition related retention</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40" w:type="dxa"/>
            <w:vAlign w:val="bottom"/>
            <w:shd w:val="clear" w:color="auto" w:fill="CCEEFF"/>
          </w:tcPr>
          <w:p>
            <w:pPr>
              <w:ind w:left="240"/>
              <w:spacing w:after="0" w:line="243" w:lineRule="exact"/>
              <w:rPr>
                <w:sz w:val="20"/>
                <w:szCs w:val="20"/>
                <w:color w:val="auto"/>
              </w:rPr>
            </w:pPr>
            <w:r>
              <w:rPr>
                <w:rFonts w:ascii="Times New Roman" w:cs="Times New Roman" w:eastAsia="Times New Roman" w:hAnsi="Times New Roman"/>
                <w:sz w:val="18"/>
                <w:szCs w:val="18"/>
                <w:color w:val="auto"/>
              </w:rPr>
              <w:t>expenses</w:t>
            </w:r>
            <w:r>
              <w:rPr>
                <w:rFonts w:ascii="Times New Roman" w:cs="Times New Roman" w:eastAsia="Times New Roman" w:hAnsi="Times New Roman"/>
                <w:sz w:val="23"/>
                <w:szCs w:val="23"/>
                <w:color w:val="auto"/>
                <w:vertAlign w:val="superscript"/>
              </w:rPr>
              <w:t>(2)</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0" w:type="dxa"/>
            <w:vAlign w:val="bottom"/>
          </w:tcPr>
          <w:p>
            <w:pPr>
              <w:spacing w:after="0"/>
              <w:rPr>
                <w:sz w:val="1"/>
                <w:szCs w:val="1"/>
                <w:color w:val="auto"/>
              </w:rPr>
            </w:pPr>
          </w:p>
        </w:tc>
      </w:tr>
      <w:tr>
        <w:trPr>
          <w:trHeight w:val="229"/>
        </w:trPr>
        <w:tc>
          <w:tcPr>
            <w:tcW w:w="34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Acquisition related costs</w:t>
            </w:r>
            <w:r>
              <w:rPr>
                <w:rFonts w:ascii="Times New Roman" w:cs="Times New Roman" w:eastAsia="Times New Roman" w:hAnsi="Times New Roman"/>
                <w:sz w:val="23"/>
                <w:szCs w:val="23"/>
                <w:color w:val="auto"/>
                <w:vertAlign w:val="superscript"/>
              </w:rPr>
              <w:t>(3)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Inventory step-up</w:t>
            </w:r>
            <w:r>
              <w:rPr>
                <w:rFonts w:ascii="Times New Roman" w:cs="Times New Roman" w:eastAsia="Times New Roman" w:hAnsi="Times New Roman"/>
                <w:sz w:val="23"/>
                <w:szCs w:val="23"/>
                <w:color w:val="auto"/>
                <w:vertAlign w:val="superscript"/>
              </w:rPr>
              <w:t>(4)</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Other non-recurring</w:t>
            </w:r>
            <w:r>
              <w:rPr>
                <w:rFonts w:ascii="Times New Roman" w:cs="Times New Roman" w:eastAsia="Times New Roman" w:hAnsi="Times New Roman"/>
                <w:sz w:val="23"/>
                <w:szCs w:val="23"/>
                <w:color w:val="auto"/>
                <w:vertAlign w:val="superscript"/>
              </w:rPr>
              <w:t>(5)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0" w:type="dxa"/>
            <w:vAlign w:val="bottom"/>
          </w:tcPr>
          <w:p>
            <w:pPr>
              <w:spacing w:after="0"/>
              <w:rPr>
                <w:sz w:val="1"/>
                <w:szCs w:val="1"/>
                <w:color w:val="auto"/>
              </w:rPr>
            </w:pPr>
          </w:p>
        </w:tc>
      </w:tr>
      <w:tr>
        <w:trPr>
          <w:trHeight w:val="248"/>
        </w:trPr>
        <w:tc>
          <w:tcPr>
            <w:tcW w:w="3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63,734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175,241</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9"/>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2024</w:t>
            </w: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Gexpro</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Canada</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Lawson</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TestEquity</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3"/>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8"/>
              </w:rPr>
              <w:t>Branch</w:t>
            </w:r>
          </w:p>
        </w:tc>
        <w:tc>
          <w:tcPr>
            <w:tcW w:w="140" w:type="dxa"/>
            <w:vAlign w:val="bottom"/>
          </w:tcPr>
          <w:p>
            <w:pPr>
              <w:spacing w:after="0"/>
              <w:rPr>
                <w:sz w:val="15"/>
                <w:szCs w:val="15"/>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80" w:type="dxa"/>
            <w:vAlign w:val="bottom"/>
          </w:tcPr>
          <w:p>
            <w:pPr>
              <w:spacing w:after="0"/>
              <w:rPr>
                <w:sz w:val="15"/>
                <w:szCs w:val="15"/>
                <w:color w:val="auto"/>
              </w:rPr>
            </w:pPr>
          </w:p>
        </w:tc>
        <w:tc>
          <w:tcPr>
            <w:tcW w:w="13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Division</w:t>
            </w:r>
          </w:p>
        </w:tc>
        <w:tc>
          <w:tcPr>
            <w:tcW w:w="14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w:t>
            </w:r>
          </w:p>
        </w:tc>
        <w:tc>
          <w:tcPr>
            <w:tcW w:w="0" w:type="dxa"/>
            <w:vAlign w:val="bottom"/>
          </w:tcPr>
          <w:p>
            <w:pPr>
              <w:spacing w:after="0"/>
              <w:rPr>
                <w:sz w:val="1"/>
                <w:szCs w:val="1"/>
                <w:color w:val="auto"/>
              </w:rPr>
            </w:pPr>
          </w:p>
        </w:tc>
      </w:tr>
      <w:tr>
        <w:trPr>
          <w:trHeight w:val="230"/>
        </w:trPr>
        <w:tc>
          <w:tcPr>
            <w:tcW w:w="3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6,796</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30"/>
        </w:trPr>
        <w:tc>
          <w:tcPr>
            <w:tcW w:w="3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earnout liabilities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55,145</w:t>
            </w:r>
          </w:p>
        </w:tc>
        <w:tc>
          <w:tcPr>
            <w:tcW w:w="0" w:type="dxa"/>
            <w:vAlign w:val="bottom"/>
          </w:tcPr>
          <w:p>
            <w:pPr>
              <w:spacing w:after="0"/>
              <w:rPr>
                <w:sz w:val="1"/>
                <w:szCs w:val="1"/>
                <w:color w:val="auto"/>
              </w:rPr>
            </w:pPr>
          </w:p>
        </w:tc>
      </w:tr>
      <w:tr>
        <w:trPr>
          <w:trHeight w:val="22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14,555</w:t>
            </w: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55,955</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74,376</w:t>
            </w:r>
          </w:p>
        </w:tc>
        <w:tc>
          <w:tcPr>
            <w:tcW w:w="0" w:type="dxa"/>
            <w:vAlign w:val="bottom"/>
          </w:tcPr>
          <w:p>
            <w:pPr>
              <w:spacing w:after="0"/>
              <w:rPr>
                <w:sz w:val="1"/>
                <w:szCs w:val="1"/>
                <w:color w:val="auto"/>
              </w:rPr>
            </w:pPr>
          </w:p>
        </w:tc>
      </w:tr>
      <w:tr>
        <w:trPr>
          <w:trHeight w:val="230"/>
        </w:trPr>
        <w:tc>
          <w:tcPr>
            <w:tcW w:w="34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3"/>
                <w:szCs w:val="23"/>
                <w:color w:val="auto"/>
                <w:vertAlign w:val="superscript"/>
              </w:rPr>
              <w:t>(1)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w:t>
            </w:r>
          </w:p>
        </w:tc>
        <w:tc>
          <w:tcPr>
            <w:tcW w:w="0" w:type="dxa"/>
            <w:vAlign w:val="bottom"/>
          </w:tcPr>
          <w:p>
            <w:pPr>
              <w:spacing w:after="0"/>
              <w:rPr>
                <w:sz w:val="1"/>
                <w:szCs w:val="1"/>
                <w:color w:val="auto"/>
              </w:rPr>
            </w:pPr>
          </w:p>
        </w:tc>
      </w:tr>
      <w:tr>
        <w:trPr>
          <w:trHeight w:val="175"/>
        </w:trPr>
        <w:tc>
          <w:tcPr>
            <w:tcW w:w="34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Severance and acquisition related retention</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40" w:type="dxa"/>
            <w:vAlign w:val="bottom"/>
            <w:shd w:val="clear" w:color="auto" w:fill="CCEEFF"/>
          </w:tcPr>
          <w:p>
            <w:pPr>
              <w:ind w:left="240"/>
              <w:spacing w:after="0" w:line="243" w:lineRule="exact"/>
              <w:rPr>
                <w:sz w:val="20"/>
                <w:szCs w:val="20"/>
                <w:color w:val="auto"/>
              </w:rPr>
            </w:pPr>
            <w:r>
              <w:rPr>
                <w:rFonts w:ascii="Times New Roman" w:cs="Times New Roman" w:eastAsia="Times New Roman" w:hAnsi="Times New Roman"/>
                <w:sz w:val="18"/>
                <w:szCs w:val="18"/>
                <w:color w:val="auto"/>
              </w:rPr>
              <w:t>expenses</w:t>
            </w:r>
            <w:r>
              <w:rPr>
                <w:rFonts w:ascii="Times New Roman" w:cs="Times New Roman" w:eastAsia="Times New Roman" w:hAnsi="Times New Roman"/>
                <w:sz w:val="23"/>
                <w:szCs w:val="23"/>
                <w:color w:val="auto"/>
                <w:vertAlign w:val="superscript"/>
              </w:rPr>
              <w:t>(2)</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17,791</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23,236</w:t>
            </w:r>
          </w:p>
        </w:tc>
        <w:tc>
          <w:tcPr>
            <w:tcW w:w="0" w:type="dxa"/>
            <w:vAlign w:val="bottom"/>
          </w:tcPr>
          <w:p>
            <w:pPr>
              <w:spacing w:after="0"/>
              <w:rPr>
                <w:sz w:val="1"/>
                <w:szCs w:val="1"/>
                <w:color w:val="auto"/>
              </w:rPr>
            </w:pPr>
          </w:p>
        </w:tc>
      </w:tr>
      <w:tr>
        <w:trPr>
          <w:trHeight w:val="230"/>
        </w:trPr>
        <w:tc>
          <w:tcPr>
            <w:tcW w:w="34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Acquisition related costs</w:t>
            </w:r>
            <w:r>
              <w:rPr>
                <w:rFonts w:ascii="Times New Roman" w:cs="Times New Roman" w:eastAsia="Times New Roman" w:hAnsi="Times New Roman"/>
                <w:sz w:val="23"/>
                <w:szCs w:val="23"/>
                <w:color w:val="auto"/>
                <w:vertAlign w:val="superscript"/>
              </w:rPr>
              <w:t>(3)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10,142</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Inventory step-up</w:t>
            </w:r>
            <w:r>
              <w:rPr>
                <w:rFonts w:ascii="Times New Roman" w:cs="Times New Roman" w:eastAsia="Times New Roman" w:hAnsi="Times New Roman"/>
                <w:sz w:val="23"/>
                <w:szCs w:val="23"/>
                <w:color w:val="auto"/>
                <w:vertAlign w:val="superscript"/>
              </w:rPr>
              <w:t>(4)</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0" w:type="dxa"/>
            <w:vAlign w:val="bottom"/>
          </w:tcPr>
          <w:p>
            <w:pPr>
              <w:spacing w:after="0"/>
              <w:rPr>
                <w:sz w:val="1"/>
                <w:szCs w:val="1"/>
                <w:color w:val="auto"/>
              </w:rPr>
            </w:pPr>
          </w:p>
        </w:tc>
      </w:tr>
      <w:tr>
        <w:trPr>
          <w:trHeight w:val="230"/>
        </w:trPr>
        <w:tc>
          <w:tcPr>
            <w:tcW w:w="34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Other non-recurring</w:t>
            </w:r>
            <w:r>
              <w:rPr>
                <w:rFonts w:ascii="Times New Roman" w:cs="Times New Roman" w:eastAsia="Times New Roman" w:hAnsi="Times New Roman"/>
                <w:sz w:val="23"/>
                <w:szCs w:val="23"/>
                <w:color w:val="auto"/>
                <w:vertAlign w:val="superscript"/>
              </w:rPr>
              <w:t>(5)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0" w:type="dxa"/>
            <w:vAlign w:val="bottom"/>
          </w:tcPr>
          <w:p>
            <w:pPr>
              <w:spacing w:after="0"/>
              <w:rPr>
                <w:sz w:val="1"/>
                <w:szCs w:val="1"/>
                <w:color w:val="auto"/>
              </w:rPr>
            </w:pPr>
          </w:p>
        </w:tc>
      </w:tr>
      <w:tr>
        <w:trPr>
          <w:trHeight w:val="248"/>
        </w:trPr>
        <w:tc>
          <w:tcPr>
            <w:tcW w:w="3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175,257</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ind w:left="560" w:hanging="228"/>
        <w:spacing w:after="0"/>
        <w:tabs>
          <w:tab w:leader="none" w:pos="56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Expense (benefit) primarily for stock-based compensation, of which a portion varies with the Company’s stock price.</w:t>
      </w:r>
    </w:p>
    <w:p>
      <w:pPr>
        <w:spacing w:after="0" w:line="64" w:lineRule="exact"/>
        <w:rPr>
          <w:rFonts w:ascii="Times New Roman" w:cs="Times New Roman" w:eastAsia="Times New Roman" w:hAnsi="Times New Roman"/>
          <w:sz w:val="21"/>
          <w:szCs w:val="21"/>
          <w:color w:val="auto"/>
          <w:vertAlign w:val="superscript"/>
        </w:rPr>
      </w:pPr>
    </w:p>
    <w:p>
      <w:pPr>
        <w:ind w:left="620" w:hanging="288"/>
        <w:spacing w:after="0" w:line="191" w:lineRule="auto"/>
        <w:tabs>
          <w:tab w:leader="none" w:pos="62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severance expense from actions taken not related to a formal restructuring plan and acquisition related retention expenses.</w:t>
      </w:r>
    </w:p>
    <w:p>
      <w:pPr>
        <w:spacing w:after="0" w:line="50" w:lineRule="exact"/>
        <w:rPr>
          <w:rFonts w:ascii="Times New Roman" w:cs="Times New Roman" w:eastAsia="Times New Roman" w:hAnsi="Times New Roman"/>
          <w:sz w:val="21"/>
          <w:szCs w:val="21"/>
          <w:color w:val="auto"/>
          <w:vertAlign w:val="superscript"/>
        </w:rPr>
      </w:pPr>
    </w:p>
    <w:p>
      <w:pPr>
        <w:ind w:left="620" w:hanging="288"/>
        <w:spacing w:after="0" w:line="191" w:lineRule="auto"/>
        <w:tabs>
          <w:tab w:leader="none" w:pos="62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Transaction and integration costs related to acquisitions.</w:t>
      </w:r>
    </w:p>
    <w:p>
      <w:pPr>
        <w:spacing w:after="0" w:line="50" w:lineRule="exact"/>
        <w:rPr>
          <w:rFonts w:ascii="Times New Roman" w:cs="Times New Roman" w:eastAsia="Times New Roman" w:hAnsi="Times New Roman"/>
          <w:sz w:val="21"/>
          <w:szCs w:val="21"/>
          <w:color w:val="auto"/>
          <w:vertAlign w:val="superscript"/>
        </w:rPr>
      </w:pPr>
    </w:p>
    <w:p>
      <w:pPr>
        <w:ind w:left="620" w:hanging="288"/>
        <w:spacing w:after="0" w:line="191" w:lineRule="auto"/>
        <w:tabs>
          <w:tab w:leader="none" w:pos="62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Inventory fair value step-up adjustment for acquisition accounting related to acquisitions completed.</w:t>
      </w:r>
    </w:p>
    <w:p>
      <w:pPr>
        <w:spacing w:after="0" w:line="64" w:lineRule="exact"/>
        <w:rPr>
          <w:rFonts w:ascii="Times New Roman" w:cs="Times New Roman" w:eastAsia="Times New Roman" w:hAnsi="Times New Roman"/>
          <w:sz w:val="21"/>
          <w:szCs w:val="21"/>
          <w:color w:val="auto"/>
          <w:vertAlign w:val="superscript"/>
        </w:rPr>
      </w:pPr>
    </w:p>
    <w:p>
      <w:pPr>
        <w:ind w:left="620" w:hanging="288"/>
        <w:spacing w:after="0" w:line="191" w:lineRule="auto"/>
        <w:tabs>
          <w:tab w:leader="none" w:pos="62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non-recurring costs consist of certain non-recurring strategic projects and other non-recurring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Composition of Results of Operations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Segment revenue and Operating income (loss) by reportable segment includes sales to external customers and sales transactions between our segments, referred to as intersegment revenue, and the impact of those intersegment revenue transactions on operating activities. Reconciliations of segment revenue and Operating income (loss) to our consolidated results of operations in the consolidated financial statements are provided in Note 14 – Segment Information within Item 8. Financial Statements and Supplementary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2025 AS COMPARED TO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56"/>
        </w:trPr>
        <w:tc>
          <w:tcPr>
            <w:tcW w:w="36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840" w:type="dxa"/>
            <w:vAlign w:val="bottom"/>
            <w:tcBorders>
              <w:bottom w:val="single" w:sz="8" w:color="auto"/>
            </w:tcBorders>
            <w:gridSpan w:val="6"/>
          </w:tcPr>
          <w:p>
            <w:pPr>
              <w:jc w:val="right"/>
              <w:ind w:right="12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580" w:type="dxa"/>
            <w:vAlign w:val="bottom"/>
            <w:tcBorders>
              <w:bottom w:val="single" w:sz="8" w:color="auto"/>
            </w:tcBorders>
          </w:tcPr>
          <w:p>
            <w:pPr>
              <w:spacing w:after="0"/>
              <w:rPr>
                <w:sz w:val="22"/>
                <w:szCs w:val="22"/>
                <w:color w:val="auto"/>
              </w:rPr>
            </w:pPr>
          </w:p>
        </w:tc>
      </w:tr>
      <w:tr>
        <w:trPr>
          <w:trHeight w:val="223"/>
        </w:trPr>
        <w:tc>
          <w:tcPr>
            <w:tcW w:w="36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80" w:type="dxa"/>
            <w:vAlign w:val="bottom"/>
            <w:tcBorders>
              <w:bottom w:val="single" w:sz="8" w:color="auto"/>
            </w:tcBorders>
          </w:tcPr>
          <w:p>
            <w:pPr>
              <w:spacing w:after="0"/>
              <w:rPr>
                <w:sz w:val="19"/>
                <w:szCs w:val="19"/>
                <w:color w:val="auto"/>
              </w:rPr>
            </w:pPr>
          </w:p>
        </w:tc>
      </w:tr>
      <w:tr>
        <w:trPr>
          <w:trHeight w:val="223"/>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340" w:type="dxa"/>
            <w:vAlign w:val="bottom"/>
          </w:tcPr>
          <w:p>
            <w:pPr>
              <w:spacing w:after="0"/>
              <w:rPr>
                <w:sz w:val="19"/>
                <w:szCs w:val="19"/>
                <w:color w:val="auto"/>
              </w:rPr>
            </w:pPr>
          </w:p>
        </w:tc>
        <w:tc>
          <w:tcPr>
            <w:tcW w:w="1820" w:type="dxa"/>
            <w:vAlign w:val="bottom"/>
            <w:gridSpan w:val="3"/>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of Revenue</w:t>
            </w:r>
          </w:p>
        </w:tc>
      </w:tr>
      <w:tr>
        <w:trPr>
          <w:trHeight w:val="34"/>
        </w:trPr>
        <w:tc>
          <w:tcPr>
            <w:tcW w:w="366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3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Lawson</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481,088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26.0 %</w:t>
            </w:r>
          </w:p>
        </w:tc>
      </w:tr>
      <w:tr>
        <w:trPr>
          <w:trHeight w:val="229"/>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TestEquity</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783,237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771,180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42.7 %</w:t>
            </w:r>
          </w:p>
        </w:tc>
      </w:tr>
      <w:tr>
        <w:trPr>
          <w:trHeight w:val="230"/>
        </w:trPr>
        <w:tc>
          <w:tcPr>
            <w:tcW w:w="3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Gexpro Services</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496,655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24.4 %</w:t>
            </w:r>
          </w:p>
        </w:tc>
      </w:tr>
      <w:tr>
        <w:trPr>
          <w:trHeight w:val="229"/>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Canada Branch Division</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29"/>
        </w:trPr>
        <w:tc>
          <w:tcPr>
            <w:tcW w:w="36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Intersegment revenue elimination</w:t>
            </w: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3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1,804,104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Lawson</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11.7 %</w:t>
            </w:r>
          </w:p>
        </w:tc>
      </w:tr>
      <w:tr>
        <w:trPr>
          <w:trHeight w:val="229"/>
        </w:trPr>
        <w:tc>
          <w:tcPr>
            <w:tcW w:w="3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TestEquity</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613,707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595,368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33.0 %</w:t>
            </w:r>
          </w:p>
        </w:tc>
      </w:tr>
      <w:tr>
        <w:trPr>
          <w:trHeight w:val="230"/>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Gexpro Services</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16.8 %</w:t>
            </w:r>
          </w:p>
        </w:tc>
      </w:tr>
      <w:tr>
        <w:trPr>
          <w:trHeight w:val="230"/>
        </w:trPr>
        <w:tc>
          <w:tcPr>
            <w:tcW w:w="3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Canada Branch Division</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29"/>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Intersegment cost of goods sold elimination</w:t>
            </w: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36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Total Cost of goods sold</w:t>
            </w: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1,317,985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66.6 %</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1,190,329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66.0 %</w:t>
            </w:r>
          </w:p>
        </w:tc>
      </w:tr>
      <w:tr>
        <w:trPr>
          <w:trHeight w:val="22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662,038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34.0 %</w:t>
            </w: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Lawson</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r>
      <w:tr>
        <w:trPr>
          <w:trHeight w:val="230"/>
        </w:trPr>
        <w:tc>
          <w:tcPr>
            <w:tcW w:w="3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TestEquity</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30"/>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Gexpro Services</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29"/>
        </w:trPr>
        <w:tc>
          <w:tcPr>
            <w:tcW w:w="3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Canada Branch Division</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0"/>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All Other</w:t>
            </w: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155"/>
        </w:trPr>
        <w:tc>
          <w:tcPr>
            <w:tcW w:w="3660" w:type="dxa"/>
            <w:vAlign w:val="bottom"/>
          </w:tcPr>
          <w:p>
            <w:pPr>
              <w:ind w:left="460"/>
              <w:spacing w:after="0" w:line="156" w:lineRule="exact"/>
              <w:rPr>
                <w:sz w:val="20"/>
                <w:szCs w:val="20"/>
                <w:color w:val="auto"/>
              </w:rPr>
            </w:pPr>
            <w:r>
              <w:rPr>
                <w:rFonts w:ascii="Times New Roman" w:cs="Times New Roman" w:eastAsia="Times New Roman" w:hAnsi="Times New Roman"/>
                <w:sz w:val="18"/>
                <w:szCs w:val="18"/>
                <w:color w:val="auto"/>
              </w:rPr>
              <w:t>Total Selling, general and administrative</w:t>
            </w:r>
          </w:p>
        </w:tc>
        <w:tc>
          <w:tcPr>
            <w:tcW w:w="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243"/>
        </w:trPr>
        <w:tc>
          <w:tcPr>
            <w:tcW w:w="3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expenses</w:t>
            </w:r>
          </w:p>
        </w:tc>
        <w:tc>
          <w:tcPr>
            <w:tcW w:w="3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583,775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557,820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30.9 %</w:t>
            </w: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30"/>
        </w:trPr>
        <w:tc>
          <w:tcPr>
            <w:tcW w:w="3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earnout liabilities</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36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36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48"/>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1" w:name="page32"/>
    <w:bookmarkEnd w:id="31"/>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Overview of Consolidated Results of Operations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consolidated revenue increased $175.9 million for 2025 compared to 2024 primarily driven by $121.5 million of revenue from acquisitions completed in 2024 and an increase in organic revenue of $54.4 million. Consolidated Gross profit and Selling, general and administrative expenses also increased over the prior year primarily driven by the 2024 acquisitions of ESS, S&amp;S Automotive, Source Atlantic, TCR and ConRes TE (each as defined in Note 3 – Business and Asset Acquisitions in Item 8. Financial Statements and Supplementary Data).</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Results by Reportable Segment below for a complete discussion of our results of operations.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Results by Reportable Segment</w:t>
            </w: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Lawson Segment</w:t>
            </w: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4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0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20" w:type="dxa"/>
            <w:vAlign w:val="bottom"/>
          </w:tcPr>
          <w:p>
            <w:pPr>
              <w:spacing w:after="0"/>
              <w:rPr>
                <w:sz w:val="24"/>
                <w:szCs w:val="24"/>
                <w:color w:val="auto"/>
              </w:rPr>
            </w:pPr>
          </w:p>
        </w:tc>
        <w:tc>
          <w:tcPr>
            <w:tcW w:w="2080" w:type="dxa"/>
            <w:vAlign w:val="bottom"/>
            <w:gridSpan w:val="3"/>
          </w:tcPr>
          <w:p>
            <w:pPr>
              <w:ind w:left="1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4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80" w:type="dxa"/>
            <w:vAlign w:val="bottom"/>
            <w:tcBorders>
              <w:top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480,768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468,976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370.6 %</w:t>
            </w:r>
          </w:p>
        </w:tc>
        <w:tc>
          <w:tcPr>
            <w:tcW w:w="0" w:type="dxa"/>
            <w:vAlign w:val="bottom"/>
          </w:tcPr>
          <w:p>
            <w:pPr>
              <w:spacing w:after="0"/>
              <w:rPr>
                <w:sz w:val="1"/>
                <w:szCs w:val="1"/>
                <w:color w:val="auto"/>
              </w:rPr>
            </w:pPr>
          </w:p>
        </w:tc>
      </w:tr>
      <w:tr>
        <w:trPr>
          <w:trHeight w:val="223"/>
        </w:trPr>
        <w:tc>
          <w:tcPr>
            <w:tcW w:w="36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481,088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469,044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217,058</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211,784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3"/>
        </w:trPr>
        <w:tc>
          <w:tcPr>
            <w:tcW w:w="36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264,030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257,260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245,267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242,705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1"/>
        </w:trPr>
        <w:tc>
          <w:tcPr>
            <w:tcW w:w="3620" w:type="dxa"/>
            <w:vAlign w:val="bottom"/>
            <w:tcBorders>
              <w:bottom w:val="single" w:sz="8" w:color="CCEEFF"/>
            </w:tcBorders>
            <w:gridSpan w:val="3"/>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color w:val="auto"/>
              </w:rPr>
              <w:t>Operating income (loss)</w:t>
            </w:r>
          </w:p>
        </w:tc>
        <w:tc>
          <w:tcPr>
            <w:tcW w:w="44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18,763</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14,555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4,208</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28.9 %</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 margin</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gridSpan w:val="3"/>
            <w:vMerge w:val="continue"/>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54.9 %</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54.8 %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620" w:type="dxa"/>
            <w:vAlign w:val="bottom"/>
            <w:gridSpan w:val="3"/>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51,642</w:t>
            </w:r>
          </w:p>
        </w:tc>
        <w:tc>
          <w:tcPr>
            <w:tcW w:w="12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56,399</w:t>
            </w:r>
          </w:p>
        </w:tc>
        <w:tc>
          <w:tcPr>
            <w:tcW w:w="10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(4,757)</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560" w:hanging="228"/>
        <w:spacing w:after="0"/>
        <w:tabs>
          <w:tab w:leader="none" w:pos="56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Refer to the Non-GAAP Adjusted EBITDA section in Overview for a reconciliation of operating income to Adjusted EBITDA.</w:t>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Revenue and Gross Profit</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increased $12.0 million, or 2.6%, to $481.1 million in 2025 compared to revenue of $469.0 million in 2024. The increase was primarily driven by $17.0 million of additional revenue generated from the acquisitions completed in 2024, partially offset by a decline in military customer sales of $5.2 million.</w:t>
      </w:r>
    </w:p>
    <w:p>
      <w:pPr>
        <w:spacing w:after="0" w:line="20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Gross profit increased $6.8 million, or 2.6%, to $264.0 million in 2025 compared to gross profit of $257.3 million in 2024 primarily as a result of the inclusion of $9.2 million of additional gross profit from the acquisitions completed in 2024 partially offset by lower revenue for legacy Lawson. Lawson gross profit as a percentage of revenue was 54.9% in 2025 compared to gross profit as a percentage of revenue of 54.8% in the prior year.</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Selling, General and Administrative Expenses</w:t>
      </w:r>
    </w:p>
    <w:p>
      <w:pPr>
        <w:spacing w:after="0" w:line="25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181717"/>
        </w:rPr>
        <w:t xml:space="preserve">Selling, general and administrative expenses </w:t>
      </w:r>
      <w:r>
        <w:rPr>
          <w:rFonts w:ascii="Times New Roman" w:cs="Times New Roman" w:eastAsia="Times New Roman" w:hAnsi="Times New Roman"/>
          <w:sz w:val="18"/>
          <w:szCs w:val="18"/>
          <w:color w:val="000000"/>
        </w:rPr>
        <w:t>consist of compensation and support for Lawson sales representatives as well as expenses to operate</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Lawson’s distribution network and overhead expenses.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Selling, general and administrative expenses increased $2.6 million to $245.3 million in 2025 compared to $242.7 million in 2024. The increase was driven primarily by additional selling, general and administrative expenses of approximately $3.8 million due to </w:t>
      </w:r>
      <w:r>
        <w:rPr>
          <w:rFonts w:ascii="Times New Roman" w:cs="Times New Roman" w:eastAsia="Times New Roman" w:hAnsi="Times New Roman"/>
          <w:sz w:val="18"/>
          <w:szCs w:val="18"/>
          <w:color w:val="181717"/>
        </w:rPr>
        <w:t>the acquisitions completed in 2024, higher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81717"/>
        </w:rPr>
        <w:t>employee related costs of $5.8 million and higher depreciation and amortization expense of $2.7 million partially offset by a decrease in severance expense, merger and acquisition expenses and stock based compensation of $2.3 million, $6.9 million and $1.2 million, respectively</w:t>
      </w:r>
      <w:r>
        <w:rPr>
          <w:rFonts w:ascii="Times New Roman" w:cs="Times New Roman" w:eastAsia="Times New Roman" w:hAnsi="Times New Roman"/>
          <w:sz w:val="18"/>
          <w:szCs w:val="18"/>
          <w:color w:val="000000"/>
        </w:rPr>
        <w:t>.</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Adjusted EBITDA</w:t>
      </w:r>
    </w:p>
    <w:p>
      <w:pPr>
        <w:spacing w:after="0" w:line="25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181717"/>
        </w:rPr>
        <w:t xml:space="preserve">During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181717"/>
        </w:rPr>
        <w:t xml:space="preserve">, Lawson generated Adjusted EBITDA of </w:t>
      </w:r>
      <w:r>
        <w:rPr>
          <w:rFonts w:ascii="Times New Roman" w:cs="Times New Roman" w:eastAsia="Times New Roman" w:hAnsi="Times New Roman"/>
          <w:sz w:val="18"/>
          <w:szCs w:val="18"/>
          <w:color w:val="000000"/>
        </w:rPr>
        <w:t>$51.6 million</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a decrease</w:t>
      </w:r>
      <w:r>
        <w:rPr>
          <w:rFonts w:ascii="Times New Roman" w:cs="Times New Roman" w:eastAsia="Times New Roman" w:hAnsi="Times New Roman"/>
          <w:sz w:val="18"/>
          <w:szCs w:val="18"/>
          <w:color w:val="181717"/>
        </w:rPr>
        <w:t xml:space="preserve"> of 8.4% or </w:t>
      </w:r>
      <w:r>
        <w:rPr>
          <w:rFonts w:ascii="Times New Roman" w:cs="Times New Roman" w:eastAsia="Times New Roman" w:hAnsi="Times New Roman"/>
          <w:sz w:val="18"/>
          <w:szCs w:val="18"/>
          <w:color w:val="000000"/>
        </w:rPr>
        <w:t>$4.8 million</w:t>
      </w:r>
      <w:r>
        <w:rPr>
          <w:rFonts w:ascii="Times New Roman" w:cs="Times New Roman" w:eastAsia="Times New Roman" w:hAnsi="Times New Roman"/>
          <w:sz w:val="18"/>
          <w:szCs w:val="18"/>
          <w:color w:val="181717"/>
        </w:rPr>
        <w:t xml:space="preserve"> from the prior year p</w:t>
      </w:r>
      <w:r>
        <w:rPr>
          <w:rFonts w:ascii="Times New Roman" w:cs="Times New Roman" w:eastAsia="Times New Roman" w:hAnsi="Times New Roman"/>
          <w:sz w:val="18"/>
          <w:szCs w:val="18"/>
          <w:color w:val="000000"/>
        </w:rPr>
        <w:t>rimarily driven by lower</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organic revenue and higher s</w:t>
      </w:r>
      <w:r>
        <w:rPr>
          <w:rFonts w:ascii="Times New Roman" w:cs="Times New Roman" w:eastAsia="Times New Roman" w:hAnsi="Times New Roman"/>
          <w:sz w:val="18"/>
          <w:szCs w:val="18"/>
          <w:color w:val="181717"/>
        </w:rPr>
        <w:t>elling, general and administrative expenses primarily from higher</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181717"/>
        </w:rPr>
        <w:t xml:space="preserve">employee related costs, </w:t>
      </w:r>
      <w:r>
        <w:rPr>
          <w:rFonts w:ascii="Times New Roman" w:cs="Times New Roman" w:eastAsia="Times New Roman" w:hAnsi="Times New Roman"/>
          <w:sz w:val="18"/>
          <w:szCs w:val="18"/>
          <w:color w:val="000000"/>
        </w:rPr>
        <w:t>partially offset by additional contributions of approximately $4.4 million generated by the acquisitions completed in 2024.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TestEquity Segment</w:t>
            </w: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340" w:type="dxa"/>
            <w:vAlign w:val="bottom"/>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0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20" w:type="dxa"/>
            <w:vAlign w:val="bottom"/>
          </w:tcPr>
          <w:p>
            <w:pPr>
              <w:spacing w:after="0"/>
              <w:rPr>
                <w:sz w:val="24"/>
                <w:szCs w:val="24"/>
                <w:color w:val="auto"/>
              </w:rPr>
            </w:pPr>
          </w:p>
        </w:tc>
        <w:tc>
          <w:tcPr>
            <w:tcW w:w="2080" w:type="dxa"/>
            <w:vAlign w:val="bottom"/>
            <w:gridSpan w:val="3"/>
          </w:tcPr>
          <w:p>
            <w:pPr>
              <w:ind w:left="1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4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80" w:type="dxa"/>
            <w:vAlign w:val="bottom"/>
            <w:tcBorders>
              <w:top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782,367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770,866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870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177.1 %</w:t>
            </w:r>
          </w:p>
        </w:tc>
        <w:tc>
          <w:tcPr>
            <w:tcW w:w="0" w:type="dxa"/>
            <w:vAlign w:val="bottom"/>
          </w:tcPr>
          <w:p>
            <w:pPr>
              <w:spacing w:after="0"/>
              <w:rPr>
                <w:sz w:val="1"/>
                <w:szCs w:val="1"/>
                <w:color w:val="auto"/>
              </w:rPr>
            </w:pPr>
          </w:p>
        </w:tc>
      </w:tr>
      <w:tr>
        <w:trPr>
          <w:trHeight w:val="223"/>
        </w:trPr>
        <w:tc>
          <w:tcPr>
            <w:tcW w:w="36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783,237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771,180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12,057</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613,707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595,368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23"/>
        </w:trPr>
        <w:tc>
          <w:tcPr>
            <w:tcW w:w="36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169,530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175,812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155,125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171,845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(16,720)</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1"/>
        </w:trPr>
        <w:tc>
          <w:tcPr>
            <w:tcW w:w="3620" w:type="dxa"/>
            <w:vAlign w:val="bottom"/>
            <w:tcBorders>
              <w:bottom w:val="single" w:sz="8" w:color="CCEEFF"/>
            </w:tcBorders>
            <w:gridSpan w:val="3"/>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color w:val="auto"/>
              </w:rPr>
              <w:t>Operating income (loss)</w:t>
            </w:r>
          </w:p>
        </w:tc>
        <w:tc>
          <w:tcPr>
            <w:tcW w:w="44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14,405</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3,967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10,438</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263.1 %</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 margin</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620" w:type="dxa"/>
            <w:vAlign w:val="bottom"/>
            <w:gridSpan w:val="3"/>
            <w:vMerge w:val="continue"/>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21.6 %</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22.8 %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620" w:type="dxa"/>
            <w:vAlign w:val="bottom"/>
            <w:gridSpan w:val="3"/>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50,951</w:t>
            </w:r>
          </w:p>
        </w:tc>
        <w:tc>
          <w:tcPr>
            <w:tcW w:w="12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56,288</w:t>
            </w:r>
          </w:p>
        </w:tc>
        <w:tc>
          <w:tcPr>
            <w:tcW w:w="10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560" w:hanging="228"/>
        <w:spacing w:after="0"/>
        <w:tabs>
          <w:tab w:leader="none" w:pos="56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Refer to the Non-GAAP Adjusted EBITDA section in Overview for a reconciliation of operating income (loss) to Adjusted EBITDA.</w:t>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Revenue and Gross Profit</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181717"/>
        </w:rPr>
        <w:t xml:space="preserve">Revenue </w:t>
      </w:r>
      <w:r>
        <w:rPr>
          <w:rFonts w:ascii="Times New Roman" w:cs="Times New Roman" w:eastAsia="Times New Roman" w:hAnsi="Times New Roman"/>
          <w:sz w:val="18"/>
          <w:szCs w:val="18"/>
          <w:color w:val="000000"/>
        </w:rPr>
        <w:t>increased $12.1 million</w:t>
      </w:r>
      <w:r>
        <w:rPr>
          <w:rFonts w:ascii="Times New Roman" w:cs="Times New Roman" w:eastAsia="Times New Roman" w:hAnsi="Times New Roman"/>
          <w:sz w:val="18"/>
          <w:szCs w:val="18"/>
          <w:color w:val="181717"/>
        </w:rPr>
        <w:t xml:space="preserve">, or 1.6%, to </w:t>
      </w:r>
      <w:r>
        <w:rPr>
          <w:rFonts w:ascii="Times New Roman" w:cs="Times New Roman" w:eastAsia="Times New Roman" w:hAnsi="Times New Roman"/>
          <w:sz w:val="18"/>
          <w:szCs w:val="18"/>
          <w:color w:val="000000"/>
        </w:rPr>
        <w:t>$783.2 million</w:t>
      </w:r>
      <w:r>
        <w:rPr>
          <w:rFonts w:ascii="Times New Roman" w:cs="Times New Roman" w:eastAsia="Times New Roman" w:hAnsi="Times New Roman"/>
          <w:sz w:val="18"/>
          <w:szCs w:val="18"/>
          <w:color w:val="181717"/>
        </w:rPr>
        <w:t xml:space="preserve"> in </w:t>
      </w:r>
      <w:r>
        <w:rPr>
          <w:rFonts w:ascii="Times New Roman" w:cs="Times New Roman" w:eastAsia="Times New Roman" w:hAnsi="Times New Roman"/>
          <w:sz w:val="18"/>
          <w:szCs w:val="18"/>
          <w:color w:val="000000"/>
        </w:rPr>
        <w:t>2025 compared to $771.2 million</w:t>
      </w:r>
      <w:r>
        <w:rPr>
          <w:rFonts w:ascii="Times New Roman" w:cs="Times New Roman" w:eastAsia="Times New Roman" w:hAnsi="Times New Roman"/>
          <w:sz w:val="18"/>
          <w:szCs w:val="18"/>
          <w:color w:val="181717"/>
        </w:rPr>
        <w:t xml:space="preserve"> in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181717"/>
        </w:rPr>
        <w:t xml:space="preserve">. The increase was primarily driven by </w:t>
      </w:r>
      <w:r>
        <w:rPr>
          <w:rFonts w:ascii="Times New Roman" w:cs="Times New Roman" w:eastAsia="Times New Roman" w:hAnsi="Times New Roman"/>
          <w:sz w:val="18"/>
          <w:szCs w:val="18"/>
          <w:color w:val="000000"/>
        </w:rPr>
        <w:t>$7.2</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 xml:space="preserve">million </w:t>
      </w:r>
      <w:r>
        <w:rPr>
          <w:rFonts w:ascii="Times New Roman" w:cs="Times New Roman" w:eastAsia="Times New Roman" w:hAnsi="Times New Roman"/>
          <w:sz w:val="18"/>
          <w:szCs w:val="18"/>
          <w:color w:val="181717"/>
        </w:rPr>
        <w:t>of revenue generated from the acquisition completed in 2024,</w:t>
      </w:r>
      <w:r>
        <w:rPr>
          <w:rFonts w:ascii="Times New Roman" w:cs="Times New Roman" w:eastAsia="Times New Roman" w:hAnsi="Times New Roman"/>
          <w:sz w:val="18"/>
          <w:szCs w:val="18"/>
          <w:color w:val="000000"/>
        </w:rPr>
        <w:t xml:space="preserve"> and an increase of $19.0 million in the test and measurement, rentals, chambers, fabrication value added and calibration business, partially offset by a $14.1 million decrease in electronic production supplies and printing value added services.</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181717"/>
        </w:rPr>
        <w:t xml:space="preserve">Gross profit </w:t>
      </w:r>
      <w:r>
        <w:rPr>
          <w:rFonts w:ascii="Times New Roman" w:cs="Times New Roman" w:eastAsia="Times New Roman" w:hAnsi="Times New Roman"/>
          <w:sz w:val="18"/>
          <w:szCs w:val="18"/>
          <w:color w:val="000000"/>
        </w:rPr>
        <w:t>decreased $6.3 million</w:t>
      </w:r>
      <w:r>
        <w:rPr>
          <w:rFonts w:ascii="Times New Roman" w:cs="Times New Roman" w:eastAsia="Times New Roman" w:hAnsi="Times New Roman"/>
          <w:sz w:val="18"/>
          <w:szCs w:val="18"/>
          <w:color w:val="181717"/>
        </w:rPr>
        <w:t xml:space="preserve"> to </w:t>
      </w:r>
      <w:r>
        <w:rPr>
          <w:rFonts w:ascii="Times New Roman" w:cs="Times New Roman" w:eastAsia="Times New Roman" w:hAnsi="Times New Roman"/>
          <w:sz w:val="18"/>
          <w:szCs w:val="18"/>
          <w:color w:val="000000"/>
        </w:rPr>
        <w:t>$169.5 million</w:t>
      </w:r>
      <w:r>
        <w:rPr>
          <w:rFonts w:ascii="Times New Roman" w:cs="Times New Roman" w:eastAsia="Times New Roman" w:hAnsi="Times New Roman"/>
          <w:sz w:val="18"/>
          <w:szCs w:val="18"/>
          <w:color w:val="181717"/>
        </w:rPr>
        <w:t xml:space="preserve"> in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181717"/>
        </w:rPr>
        <w:t xml:space="preserve"> compared to </w:t>
      </w:r>
      <w:r>
        <w:rPr>
          <w:rFonts w:ascii="Times New Roman" w:cs="Times New Roman" w:eastAsia="Times New Roman" w:hAnsi="Times New Roman"/>
          <w:sz w:val="18"/>
          <w:szCs w:val="18"/>
          <w:color w:val="000000"/>
        </w:rPr>
        <w:t>$175.8 million</w:t>
      </w:r>
      <w:r>
        <w:rPr>
          <w:rFonts w:ascii="Times New Roman" w:cs="Times New Roman" w:eastAsia="Times New Roman" w:hAnsi="Times New Roman"/>
          <w:sz w:val="18"/>
          <w:szCs w:val="18"/>
          <w:color w:val="181717"/>
        </w:rPr>
        <w:t xml:space="preserve"> in </w:t>
      </w:r>
      <w:r>
        <w:rPr>
          <w:rFonts w:ascii="Times New Roman" w:cs="Times New Roman" w:eastAsia="Times New Roman" w:hAnsi="Times New Roman"/>
          <w:sz w:val="18"/>
          <w:szCs w:val="18"/>
          <w:color w:val="000000"/>
        </w:rPr>
        <w:t>2024. The decrease was primarily driven by $3.4 million</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 xml:space="preserve">of higher depreciation expense due to the expansion of the rental equipment fleet from the 2024 acquisition of ConRes TE and a sales mix shift toward test and measurement which have lower margins. </w:t>
      </w:r>
      <w:r>
        <w:rPr>
          <w:rFonts w:ascii="Times New Roman" w:cs="Times New Roman" w:eastAsia="Times New Roman" w:hAnsi="Times New Roman"/>
          <w:sz w:val="18"/>
          <w:szCs w:val="18"/>
          <w:color w:val="181717"/>
        </w:rPr>
        <w:t>TestEquity gross profit as a percentage of revenue decreased to 21.6% in</w:t>
      </w:r>
      <w:r>
        <w:rPr>
          <w:rFonts w:ascii="Times New Roman" w:cs="Times New Roman" w:eastAsia="Times New Roman" w:hAnsi="Times New Roman"/>
          <w:sz w:val="18"/>
          <w:szCs w:val="18"/>
          <w:color w:val="000000"/>
        </w:rPr>
        <w:t xml:space="preserve"> 2025 </w:t>
      </w:r>
      <w:r>
        <w:rPr>
          <w:rFonts w:ascii="Times New Roman" w:cs="Times New Roman" w:eastAsia="Times New Roman" w:hAnsi="Times New Roman"/>
          <w:sz w:val="18"/>
          <w:szCs w:val="18"/>
          <w:color w:val="181717"/>
        </w:rPr>
        <w:t>compared to 22.8% in the prior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181717"/>
        </w:rPr>
        <w:t xml:space="preserve">year primarily due to higher depreciation expense on the expanded rental equipment fleet, higher inventory write-offs of $1.2 million and a shift in sales mix </w:t>
      </w:r>
      <w:r>
        <w:rPr>
          <w:rFonts w:ascii="Times New Roman" w:cs="Times New Roman" w:eastAsia="Times New Roman" w:hAnsi="Times New Roman"/>
          <w:sz w:val="18"/>
          <w:szCs w:val="18"/>
          <w:color w:val="000000"/>
        </w:rPr>
        <w:t>toward test and measurement which have lower margins partially offset by favorability in vendor rebates.</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Selling, General and Administrative Expenses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181717"/>
        </w:rPr>
        <w:t>Selling, general and administrative expenses consist of compensation and support for TestEquity’s sales representatives and expenses to operate TestEquity’s distribution network and overhead expenses.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181717"/>
        </w:rPr>
        <w:t xml:space="preserve">Selling, general and administrative expenses </w:t>
      </w:r>
      <w:r>
        <w:rPr>
          <w:rFonts w:ascii="Times New Roman" w:cs="Times New Roman" w:eastAsia="Times New Roman" w:hAnsi="Times New Roman"/>
          <w:sz w:val="18"/>
          <w:szCs w:val="18"/>
          <w:color w:val="000000"/>
        </w:rPr>
        <w:t>decreased $16.7 million</w:t>
      </w:r>
      <w:r>
        <w:rPr>
          <w:rFonts w:ascii="Times New Roman" w:cs="Times New Roman" w:eastAsia="Times New Roman" w:hAnsi="Times New Roman"/>
          <w:sz w:val="18"/>
          <w:szCs w:val="18"/>
          <w:color w:val="181717"/>
        </w:rPr>
        <w:t xml:space="preserve"> to </w:t>
      </w:r>
      <w:r>
        <w:rPr>
          <w:rFonts w:ascii="Times New Roman" w:cs="Times New Roman" w:eastAsia="Times New Roman" w:hAnsi="Times New Roman"/>
          <w:sz w:val="18"/>
          <w:szCs w:val="18"/>
          <w:color w:val="000000"/>
        </w:rPr>
        <w:t>$155.1 million in 2025</w:t>
      </w:r>
      <w:r>
        <w:rPr>
          <w:rFonts w:ascii="Times New Roman" w:cs="Times New Roman" w:eastAsia="Times New Roman" w:hAnsi="Times New Roman"/>
          <w:sz w:val="18"/>
          <w:szCs w:val="18"/>
          <w:color w:val="181717"/>
        </w:rPr>
        <w:t xml:space="preserve"> compared to </w:t>
      </w:r>
      <w:r>
        <w:rPr>
          <w:rFonts w:ascii="Times New Roman" w:cs="Times New Roman" w:eastAsia="Times New Roman" w:hAnsi="Times New Roman"/>
          <w:sz w:val="18"/>
          <w:szCs w:val="18"/>
          <w:color w:val="000000"/>
        </w:rPr>
        <w:t>$171.8 million</w:t>
      </w:r>
      <w:r>
        <w:rPr>
          <w:rFonts w:ascii="Times New Roman" w:cs="Times New Roman" w:eastAsia="Times New Roman" w:hAnsi="Times New Roman"/>
          <w:sz w:val="18"/>
          <w:szCs w:val="18"/>
          <w:color w:val="181717"/>
        </w:rPr>
        <w:t xml:space="preserve"> in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The decrease was</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 xml:space="preserve">primarily driven </w:t>
      </w:r>
      <w:r>
        <w:rPr>
          <w:rFonts w:ascii="Times New Roman" w:cs="Times New Roman" w:eastAsia="Times New Roman" w:hAnsi="Times New Roman"/>
          <w:sz w:val="18"/>
          <w:szCs w:val="18"/>
          <w:color w:val="181717"/>
        </w:rPr>
        <w:t>by a</w:t>
      </w:r>
      <w:r>
        <w:rPr>
          <w:rFonts w:ascii="Times New Roman" w:cs="Times New Roman" w:eastAsia="Times New Roman" w:hAnsi="Times New Roman"/>
          <w:sz w:val="18"/>
          <w:szCs w:val="18"/>
          <w:color w:val="000000"/>
        </w:rPr>
        <w:t xml:space="preserve"> decrease in severance and acquisition related retention expense of $16.2 million and </w:t>
      </w:r>
      <w:r>
        <w:rPr>
          <w:rFonts w:ascii="Times New Roman" w:cs="Times New Roman" w:eastAsia="Times New Roman" w:hAnsi="Times New Roman"/>
          <w:sz w:val="18"/>
          <w:szCs w:val="18"/>
          <w:color w:val="181717"/>
        </w:rPr>
        <w:t>merger and acquisition expenses of</w:t>
      </w:r>
      <w:r>
        <w:rPr>
          <w:rFonts w:ascii="Times New Roman" w:cs="Times New Roman" w:eastAsia="Times New Roman" w:hAnsi="Times New Roman"/>
          <w:sz w:val="18"/>
          <w:szCs w:val="18"/>
          <w:color w:val="000000"/>
        </w:rPr>
        <w:t xml:space="preserve"> $2.4 million primarily related to the 2023 acquisition of Hisco, partially offset by an increase in stock based compensation of $1.4 million.</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Adjusted EBITDA</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181717"/>
        </w:rPr>
        <w:t xml:space="preserve">During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181717"/>
        </w:rPr>
        <w:t xml:space="preserve">, TestEquity generated Adjusted EBITDA of </w:t>
      </w:r>
      <w:r>
        <w:rPr>
          <w:rFonts w:ascii="Times New Roman" w:cs="Times New Roman" w:eastAsia="Times New Roman" w:hAnsi="Times New Roman"/>
          <w:sz w:val="18"/>
          <w:szCs w:val="18"/>
          <w:color w:val="000000"/>
        </w:rPr>
        <w:t>$51.0 million</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a decrease</w:t>
      </w:r>
      <w:r>
        <w:rPr>
          <w:rFonts w:ascii="Times New Roman" w:cs="Times New Roman" w:eastAsia="Times New Roman" w:hAnsi="Times New Roman"/>
          <w:sz w:val="18"/>
          <w:szCs w:val="18"/>
          <w:color w:val="181717"/>
        </w:rPr>
        <w:t xml:space="preserve"> of </w:t>
      </w:r>
      <w:r>
        <w:rPr>
          <w:rFonts w:ascii="Times New Roman" w:cs="Times New Roman" w:eastAsia="Times New Roman" w:hAnsi="Times New Roman"/>
          <w:sz w:val="18"/>
          <w:szCs w:val="18"/>
          <w:color w:val="000000"/>
        </w:rPr>
        <w:t>$5.3 million,</w:t>
      </w:r>
      <w:r>
        <w:rPr>
          <w:rFonts w:ascii="Times New Roman" w:cs="Times New Roman" w:eastAsia="Times New Roman" w:hAnsi="Times New Roman"/>
          <w:sz w:val="18"/>
          <w:szCs w:val="18"/>
          <w:color w:val="181717"/>
        </w:rPr>
        <w:t xml:space="preserve"> or </w:t>
      </w:r>
      <w:r>
        <w:rPr>
          <w:rFonts w:ascii="Times New Roman" w:cs="Times New Roman" w:eastAsia="Times New Roman" w:hAnsi="Times New Roman"/>
          <w:sz w:val="18"/>
          <w:szCs w:val="18"/>
          <w:color w:val="000000"/>
        </w:rPr>
        <w:t>9.5%,</w:t>
      </w:r>
      <w:r>
        <w:rPr>
          <w:rFonts w:ascii="Times New Roman" w:cs="Times New Roman" w:eastAsia="Times New Roman" w:hAnsi="Times New Roman"/>
          <w:sz w:val="18"/>
          <w:szCs w:val="18"/>
          <w:color w:val="181717"/>
        </w:rPr>
        <w:t xml:space="preserve"> from the same period a year ago primarily driven by lower gross margins and higher employee compensation expenses partially offset by additional net margins of </w:t>
      </w:r>
      <w:r>
        <w:rPr>
          <w:rFonts w:ascii="Times New Roman" w:cs="Times New Roman" w:eastAsia="Times New Roman" w:hAnsi="Times New Roman"/>
          <w:sz w:val="18"/>
          <w:szCs w:val="18"/>
          <w:color w:val="000000"/>
        </w:rPr>
        <w:t>$7.7 million</w:t>
      </w:r>
      <w:r>
        <w:rPr>
          <w:rFonts w:ascii="Times New Roman" w:cs="Times New Roman" w:eastAsia="Times New Roman" w:hAnsi="Times New Roman"/>
          <w:sz w:val="18"/>
          <w:szCs w:val="18"/>
          <w:color w:val="181717"/>
        </w:rPr>
        <w:t xml:space="preserve"> generated from the 2024 acquisition of ConRes TE.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Gexpro Services Segment</w:t>
            </w: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340" w:type="dxa"/>
            <w:vAlign w:val="bottom"/>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0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20" w:type="dxa"/>
            <w:vAlign w:val="bottom"/>
          </w:tcPr>
          <w:p>
            <w:pPr>
              <w:spacing w:after="0"/>
              <w:rPr>
                <w:sz w:val="24"/>
                <w:szCs w:val="24"/>
                <w:color w:val="auto"/>
              </w:rPr>
            </w:pPr>
          </w:p>
        </w:tc>
        <w:tc>
          <w:tcPr>
            <w:tcW w:w="2080" w:type="dxa"/>
            <w:vAlign w:val="bottom"/>
            <w:gridSpan w:val="3"/>
          </w:tcPr>
          <w:p>
            <w:pPr>
              <w:ind w:left="1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4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80" w:type="dxa"/>
            <w:vAlign w:val="bottom"/>
            <w:tcBorders>
              <w:top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495,495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439,163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56,332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1,160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23"/>
        </w:trPr>
        <w:tc>
          <w:tcPr>
            <w:tcW w:w="36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496,655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440,723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341,685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302,228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39,457</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0" w:type="dxa"/>
            <w:vAlign w:val="bottom"/>
          </w:tcPr>
          <w:p>
            <w:pPr>
              <w:spacing w:after="0"/>
              <w:rPr>
                <w:sz w:val="1"/>
                <w:szCs w:val="1"/>
                <w:color w:val="auto"/>
              </w:rPr>
            </w:pPr>
          </w:p>
        </w:tc>
      </w:tr>
      <w:tr>
        <w:trPr>
          <w:trHeight w:val="223"/>
        </w:trPr>
        <w:tc>
          <w:tcPr>
            <w:tcW w:w="36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154,970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138,495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106,159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101,962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21"/>
        </w:trPr>
        <w:tc>
          <w:tcPr>
            <w:tcW w:w="3620" w:type="dxa"/>
            <w:vAlign w:val="bottom"/>
            <w:tcBorders>
              <w:bottom w:val="single" w:sz="8" w:color="CCEEFF"/>
            </w:tcBorders>
            <w:gridSpan w:val="3"/>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color w:val="auto"/>
              </w:rPr>
              <w:t>Operating income (loss)</w:t>
            </w:r>
          </w:p>
        </w:tc>
        <w:tc>
          <w:tcPr>
            <w:tcW w:w="44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48,811</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36,533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12,278</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33.6 %</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 margin</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gridSpan w:val="3"/>
            <w:vMerge w:val="continue"/>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31.2 %</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31.4 %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620" w:type="dxa"/>
            <w:vAlign w:val="bottom"/>
            <w:gridSpan w:val="3"/>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63,734</w:t>
            </w:r>
          </w:p>
        </w:tc>
        <w:tc>
          <w:tcPr>
            <w:tcW w:w="12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55,775</w:t>
            </w:r>
          </w:p>
        </w:tc>
        <w:tc>
          <w:tcPr>
            <w:tcW w:w="10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7,959</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560" w:hanging="228"/>
        <w:spacing w:after="0"/>
        <w:tabs>
          <w:tab w:leader="none" w:pos="56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Refer to the Non-GAAP Adjusted EBITDA section in Overview for a reconciliation of operating income to Adjusted EBITDA.</w:t>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Revenue and Gross Profit</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181717"/>
        </w:rPr>
        <w:t xml:space="preserve">Revenue </w:t>
      </w:r>
      <w:r>
        <w:rPr>
          <w:rFonts w:ascii="Times New Roman" w:cs="Times New Roman" w:eastAsia="Times New Roman" w:hAnsi="Times New Roman"/>
          <w:sz w:val="18"/>
          <w:szCs w:val="18"/>
          <w:color w:val="000000"/>
        </w:rPr>
        <w:t>increased</w:t>
      </w:r>
      <w:r>
        <w:rPr>
          <w:rFonts w:ascii="Times New Roman" w:cs="Times New Roman" w:eastAsia="Times New Roman" w:hAnsi="Times New Roman"/>
          <w:sz w:val="18"/>
          <w:szCs w:val="18"/>
          <w:color w:val="181717"/>
        </w:rPr>
        <w:t xml:space="preserve"> $55.9 million, or 12.7%, to $496.7 million in 2025 compared to $440.7 million in 2024. There was one less selling day in the year ended December 31, </w:t>
      </w:r>
      <w:r>
        <w:rPr>
          <w:rFonts w:ascii="Times New Roman" w:cs="Times New Roman" w:eastAsia="Times New Roman" w:hAnsi="Times New Roman"/>
          <w:sz w:val="18"/>
          <w:szCs w:val="18"/>
          <w:color w:val="000000"/>
        </w:rPr>
        <w:t>2025, compared to the same period a year ago</w:t>
      </w:r>
      <w:r>
        <w:rPr>
          <w:rFonts w:ascii="Times New Roman" w:cs="Times New Roman" w:eastAsia="Times New Roman" w:hAnsi="Times New Roman"/>
          <w:sz w:val="18"/>
          <w:szCs w:val="18"/>
          <w:color w:val="181717"/>
        </w:rPr>
        <w:t xml:space="preserve">. A selling day generally represents a business day in which Gexpro Services ships products to its customers. Average daily sales increased </w:t>
      </w:r>
      <w:r>
        <w:rPr>
          <w:rFonts w:ascii="Times New Roman" w:cs="Times New Roman" w:eastAsia="Times New Roman" w:hAnsi="Times New Roman"/>
          <w:sz w:val="18"/>
          <w:szCs w:val="18"/>
          <w:color w:val="000000"/>
        </w:rPr>
        <w:t>13.1%</w:t>
      </w:r>
      <w:r>
        <w:rPr>
          <w:rFonts w:ascii="Times New Roman" w:cs="Times New Roman" w:eastAsia="Times New Roman" w:hAnsi="Times New Roman"/>
          <w:sz w:val="18"/>
          <w:szCs w:val="18"/>
          <w:color w:val="181717"/>
        </w:rPr>
        <w:t xml:space="preserve"> over the same period a year ago. The increase in revenue was primarily driven by increased sales in the renewable energy, aerospace and defense and technology vertical markets of $25.3 million, $15.8 million, and $8.0 million, respectively, and additional revenue generated from the 2024 acquisition of TCR of $3.9 million. This was partially offset by softness within the consumer and industrial vertical market. Tariff costs passed through in the form of product price increases accounted for approximately 1.6% or $7.1 million of the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181717"/>
        </w:rPr>
        <w:t xml:space="preserve"> revenue growth.</w:t>
      </w:r>
    </w:p>
    <w:p>
      <w:pPr>
        <w:spacing w:after="0" w:line="21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181717"/>
        </w:rPr>
        <w:t xml:space="preserve">Gross profit </w:t>
      </w:r>
      <w:r>
        <w:rPr>
          <w:rFonts w:ascii="Times New Roman" w:cs="Times New Roman" w:eastAsia="Times New Roman" w:hAnsi="Times New Roman"/>
          <w:sz w:val="18"/>
          <w:szCs w:val="18"/>
          <w:color w:val="000000"/>
        </w:rPr>
        <w:t>increased</w:t>
      </w:r>
      <w:r>
        <w:rPr>
          <w:rFonts w:ascii="Times New Roman" w:cs="Times New Roman" w:eastAsia="Times New Roman" w:hAnsi="Times New Roman"/>
          <w:sz w:val="18"/>
          <w:szCs w:val="18"/>
          <w:color w:val="181717"/>
        </w:rPr>
        <w:t xml:space="preserve"> $16.5 million to $155.0 million in 2025 compared to $138.5 million in 2024 primarily due to higher revenue. Gexpro Services’ gross profit as a percentage of revenue was 31.2% in 2025 compared to 31.4% in the prior year period. </w:t>
      </w:r>
      <w:r>
        <w:rPr>
          <w:rFonts w:ascii="Times New Roman" w:cs="Times New Roman" w:eastAsia="Times New Roman" w:hAnsi="Times New Roman"/>
          <w:sz w:val="18"/>
          <w:szCs w:val="18"/>
          <w:color w:val="000000"/>
        </w:rPr>
        <w:t>The gross profit margin percentage decrease for</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2025 was primarily the result of a sales mix shift and tariff costs not recovered through price increases to customers.</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Selling, General and Administrative Expenses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181717"/>
        </w:rPr>
        <w:t>Selling, general and administrative expenses consist of sales and marketing expenses primarily relating to compensation, costs associated with supporting Gexpro Services’ service facilities, overhead expenses within finance, legal, human resources and information technology, and other costs required to operate Gexpro Services’ business.</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181717"/>
        </w:rPr>
        <w:t xml:space="preserve">Selling, general, and administrative expenses </w:t>
      </w:r>
      <w:r>
        <w:rPr>
          <w:rFonts w:ascii="Times New Roman" w:cs="Times New Roman" w:eastAsia="Times New Roman" w:hAnsi="Times New Roman"/>
          <w:sz w:val="18"/>
          <w:szCs w:val="18"/>
          <w:color w:val="000000"/>
        </w:rPr>
        <w:t>increased $4.2 million</w:t>
      </w:r>
      <w:r>
        <w:rPr>
          <w:rFonts w:ascii="Times New Roman" w:cs="Times New Roman" w:eastAsia="Times New Roman" w:hAnsi="Times New Roman"/>
          <w:sz w:val="18"/>
          <w:szCs w:val="18"/>
          <w:color w:val="181717"/>
        </w:rPr>
        <w:t xml:space="preserve"> to </w:t>
      </w:r>
      <w:r>
        <w:rPr>
          <w:rFonts w:ascii="Times New Roman" w:cs="Times New Roman" w:eastAsia="Times New Roman" w:hAnsi="Times New Roman"/>
          <w:sz w:val="18"/>
          <w:szCs w:val="18"/>
          <w:color w:val="000000"/>
        </w:rPr>
        <w:t>$106.2 million in 2025</w:t>
      </w:r>
      <w:r>
        <w:rPr>
          <w:rFonts w:ascii="Times New Roman" w:cs="Times New Roman" w:eastAsia="Times New Roman" w:hAnsi="Times New Roman"/>
          <w:sz w:val="18"/>
          <w:szCs w:val="18"/>
          <w:color w:val="181717"/>
        </w:rPr>
        <w:t xml:space="preserve"> compared to </w:t>
      </w:r>
      <w:r>
        <w:rPr>
          <w:rFonts w:ascii="Times New Roman" w:cs="Times New Roman" w:eastAsia="Times New Roman" w:hAnsi="Times New Roman"/>
          <w:sz w:val="18"/>
          <w:szCs w:val="18"/>
          <w:color w:val="000000"/>
        </w:rPr>
        <w:t>$102.0 million in 2024. The increase was</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 xml:space="preserve">primarily due to $2.0 million </w:t>
      </w:r>
      <w:r>
        <w:rPr>
          <w:rFonts w:ascii="Times New Roman" w:cs="Times New Roman" w:eastAsia="Times New Roman" w:hAnsi="Times New Roman"/>
          <w:sz w:val="18"/>
          <w:szCs w:val="18"/>
          <w:color w:val="181717"/>
        </w:rPr>
        <w:t>of additional expenses driven by the 2024 acquisition of TCR,</w:t>
      </w:r>
      <w:r>
        <w:rPr>
          <w:rFonts w:ascii="Times New Roman" w:cs="Times New Roman" w:eastAsia="Times New Roman" w:hAnsi="Times New Roman"/>
          <w:sz w:val="18"/>
          <w:szCs w:val="18"/>
          <w:color w:val="000000"/>
        </w:rPr>
        <w:t xml:space="preserve"> investments of $2.0 million to support 2025 new commercial investments, an increase in stock-based compensation of $0.4 million and additional expenses to support the increase in revenue. These were partially offset by lower m</w:t>
      </w:r>
      <w:r>
        <w:rPr>
          <w:rFonts w:ascii="Times New Roman" w:cs="Times New Roman" w:eastAsia="Times New Roman" w:hAnsi="Times New Roman"/>
          <w:sz w:val="18"/>
          <w:szCs w:val="18"/>
          <w:color w:val="181717"/>
        </w:rPr>
        <w:t>erger and acquisition expenses of</w:t>
      </w:r>
      <w:r>
        <w:rPr>
          <w:rFonts w:ascii="Times New Roman" w:cs="Times New Roman" w:eastAsia="Times New Roman" w:hAnsi="Times New Roman"/>
          <w:sz w:val="18"/>
          <w:szCs w:val="18"/>
          <w:color w:val="000000"/>
        </w:rPr>
        <w:t xml:space="preserve"> $1.6 million and a reduction to non-recurring strategic project consulting costs of $1.8 million.</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Adjusted EBITDA</w:t>
      </w:r>
    </w:p>
    <w:p>
      <w:pPr>
        <w:spacing w:after="0" w:line="25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181717"/>
        </w:rPr>
        <w:t xml:space="preserve">During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181717"/>
        </w:rPr>
        <w:t xml:space="preserve">, Gexpro Services generated Adjusted EBITDA of </w:t>
      </w:r>
      <w:r>
        <w:rPr>
          <w:rFonts w:ascii="Times New Roman" w:cs="Times New Roman" w:eastAsia="Times New Roman" w:hAnsi="Times New Roman"/>
          <w:sz w:val="18"/>
          <w:szCs w:val="18"/>
          <w:color w:val="000000"/>
        </w:rPr>
        <w:t>$63.7 million</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an increase</w:t>
      </w:r>
      <w:r>
        <w:rPr>
          <w:rFonts w:ascii="Times New Roman" w:cs="Times New Roman" w:eastAsia="Times New Roman" w:hAnsi="Times New Roman"/>
          <w:sz w:val="18"/>
          <w:szCs w:val="18"/>
          <w:color w:val="181717"/>
        </w:rPr>
        <w:t xml:space="preserve"> of </w:t>
      </w:r>
      <w:r>
        <w:rPr>
          <w:rFonts w:ascii="Times New Roman" w:cs="Times New Roman" w:eastAsia="Times New Roman" w:hAnsi="Times New Roman"/>
          <w:sz w:val="18"/>
          <w:szCs w:val="18"/>
          <w:color w:val="000000"/>
        </w:rPr>
        <w:t>$8.0 million, or 14.3%</w:t>
      </w:r>
      <w:r>
        <w:rPr>
          <w:rFonts w:ascii="Times New Roman" w:cs="Times New Roman" w:eastAsia="Times New Roman" w:hAnsi="Times New Roman"/>
          <w:sz w:val="18"/>
          <w:szCs w:val="18"/>
          <w:color w:val="181717"/>
        </w:rPr>
        <w:t xml:space="preserve"> from </w:t>
      </w:r>
      <w:r>
        <w:rPr>
          <w:rFonts w:ascii="Times New Roman" w:cs="Times New Roman" w:eastAsia="Times New Roman" w:hAnsi="Times New Roman"/>
          <w:sz w:val="18"/>
          <w:szCs w:val="18"/>
          <w:color w:val="000000"/>
        </w:rPr>
        <w:t>2024 primarily driven by</w:t>
      </w:r>
      <w:r>
        <w:rPr>
          <w:rFonts w:ascii="Times New Roman" w:cs="Times New Roman" w:eastAsia="Times New Roman" w:hAnsi="Times New Roman"/>
          <w:sz w:val="18"/>
          <w:szCs w:val="18"/>
          <w:color w:val="181717"/>
        </w:rPr>
        <w:t xml:space="preserve"> higher organic revenue, managing gross profit margins and leveraging Selling, general, and administrative expenses over a higher sales base.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Canada Branch Division Segment</w:t>
            </w: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340" w:type="dxa"/>
            <w:vAlign w:val="bottom"/>
          </w:tcPr>
          <w:p>
            <w:pPr>
              <w:spacing w:after="0"/>
              <w:rPr>
                <w:sz w:val="24"/>
                <w:szCs w:val="24"/>
                <w:color w:val="auto"/>
              </w:rPr>
            </w:pPr>
          </w:p>
        </w:tc>
        <w:tc>
          <w:tcPr>
            <w:tcW w:w="258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0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40" w:type="dxa"/>
            <w:vAlign w:val="bottom"/>
          </w:tcPr>
          <w:p>
            <w:pPr>
              <w:spacing w:after="0"/>
              <w:rPr>
                <w:sz w:val="24"/>
                <w:szCs w:val="24"/>
                <w:color w:val="auto"/>
              </w:rPr>
            </w:pPr>
          </w:p>
        </w:tc>
        <w:tc>
          <w:tcPr>
            <w:tcW w:w="2060" w:type="dxa"/>
            <w:vAlign w:val="bottom"/>
            <w:gridSpan w:val="3"/>
          </w:tcPr>
          <w:p>
            <w:pPr>
              <w:ind w:left="12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4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060" w:type="dxa"/>
            <w:vAlign w:val="bottom"/>
            <w:tcBorders>
              <w:top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80" w:type="dxa"/>
            <w:vAlign w:val="bottom"/>
            <w:tcBorders>
              <w:top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221,393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125,099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96,294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77.0 %</w:t>
            </w:r>
          </w:p>
        </w:tc>
        <w:tc>
          <w:tcPr>
            <w:tcW w:w="0" w:type="dxa"/>
            <w:vAlign w:val="bottom"/>
          </w:tcPr>
          <w:p>
            <w:pPr>
              <w:spacing w:after="0"/>
              <w:rPr>
                <w:sz w:val="1"/>
                <w:szCs w:val="1"/>
                <w:color w:val="auto"/>
              </w:rPr>
            </w:pPr>
          </w:p>
        </w:tc>
      </w:tr>
      <w:tr>
        <w:trPr>
          <w:trHeight w:val="230"/>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44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3620" w:type="dxa"/>
            <w:vAlign w:val="bottom"/>
            <w:tcBorders>
              <w:top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221,426</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125,099</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96,327</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77.0 %</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147,910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82,897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65,013</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78.4 %</w:t>
            </w:r>
          </w:p>
        </w:tc>
        <w:tc>
          <w:tcPr>
            <w:tcW w:w="0" w:type="dxa"/>
            <w:vAlign w:val="bottom"/>
          </w:tcPr>
          <w:p>
            <w:pPr>
              <w:spacing w:after="0"/>
              <w:rPr>
                <w:sz w:val="1"/>
                <w:szCs w:val="1"/>
                <w:color w:val="auto"/>
              </w:rPr>
            </w:pPr>
          </w:p>
        </w:tc>
      </w:tr>
      <w:tr>
        <w:trPr>
          <w:trHeight w:val="223"/>
        </w:trPr>
        <w:tc>
          <w:tcPr>
            <w:tcW w:w="36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73,516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42,202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74.2 %</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65,802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36,178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29,624</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81.9 %</w:t>
            </w:r>
          </w:p>
        </w:tc>
        <w:tc>
          <w:tcPr>
            <w:tcW w:w="0" w:type="dxa"/>
            <w:vAlign w:val="bottom"/>
          </w:tcPr>
          <w:p>
            <w:pPr>
              <w:spacing w:after="0"/>
              <w:rPr>
                <w:sz w:val="1"/>
                <w:szCs w:val="1"/>
                <w:color w:val="auto"/>
              </w:rPr>
            </w:pPr>
          </w:p>
        </w:tc>
      </w:tr>
      <w:tr>
        <w:trPr>
          <w:trHeight w:val="221"/>
        </w:trPr>
        <w:tc>
          <w:tcPr>
            <w:tcW w:w="3620" w:type="dxa"/>
            <w:vAlign w:val="bottom"/>
            <w:tcBorders>
              <w:bottom w:val="single" w:sz="8" w:color="CCEEFF"/>
            </w:tcBorders>
            <w:gridSpan w:val="3"/>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color w:val="auto"/>
              </w:rPr>
              <w:t>Operating income (loss)</w:t>
            </w:r>
          </w:p>
        </w:tc>
        <w:tc>
          <w:tcPr>
            <w:tcW w:w="44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7,714</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6,024</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1,690</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28.1 %</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 margin</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gridSpan w:val="3"/>
            <w:vMerge w:val="continue"/>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33.2 %</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33.7 %</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620" w:type="dxa"/>
            <w:vAlign w:val="bottom"/>
            <w:gridSpan w:val="3"/>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15,630</w:t>
            </w:r>
          </w:p>
        </w:tc>
        <w:tc>
          <w:tcPr>
            <w:tcW w:w="12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11,651</w:t>
            </w:r>
          </w:p>
        </w:tc>
        <w:tc>
          <w:tcPr>
            <w:tcW w:w="8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34.2 %</w:t>
            </w: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560" w:hanging="228"/>
        <w:spacing w:after="0"/>
        <w:tabs>
          <w:tab w:leader="none" w:pos="56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Refer to the Non-GAAP Adjusted EBITDA section in Overview for a reconciliation of operating income to Adjusted EBITDA.</w:t>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Revenue and Gross Profit</w:t>
      </w:r>
    </w:p>
    <w:p>
      <w:pPr>
        <w:spacing w:after="0" w:line="25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181717"/>
        </w:rPr>
        <w:t xml:space="preserve">Revenue </w:t>
      </w:r>
      <w:r>
        <w:rPr>
          <w:rFonts w:ascii="Times New Roman" w:cs="Times New Roman" w:eastAsia="Times New Roman" w:hAnsi="Times New Roman"/>
          <w:sz w:val="18"/>
          <w:szCs w:val="18"/>
          <w:color w:val="000000"/>
        </w:rPr>
        <w:t>increased $96.3 million, or 77.0%</w:t>
      </w:r>
      <w:r>
        <w:rPr>
          <w:rFonts w:ascii="Times New Roman" w:cs="Times New Roman" w:eastAsia="Times New Roman" w:hAnsi="Times New Roman"/>
          <w:sz w:val="18"/>
          <w:szCs w:val="18"/>
          <w:color w:val="181717"/>
        </w:rPr>
        <w:t xml:space="preserve">, to </w:t>
      </w:r>
      <w:r>
        <w:rPr>
          <w:rFonts w:ascii="Times New Roman" w:cs="Times New Roman" w:eastAsia="Times New Roman" w:hAnsi="Times New Roman"/>
          <w:sz w:val="18"/>
          <w:szCs w:val="18"/>
          <w:color w:val="000000"/>
        </w:rPr>
        <w:t>$221.4 million</w:t>
      </w:r>
      <w:r>
        <w:rPr>
          <w:rFonts w:ascii="Times New Roman" w:cs="Times New Roman" w:eastAsia="Times New Roman" w:hAnsi="Times New Roman"/>
          <w:sz w:val="18"/>
          <w:szCs w:val="18"/>
          <w:color w:val="181717"/>
        </w:rPr>
        <w:t xml:space="preserve"> in </w:t>
      </w:r>
      <w:r>
        <w:rPr>
          <w:rFonts w:ascii="Times New Roman" w:cs="Times New Roman" w:eastAsia="Times New Roman" w:hAnsi="Times New Roman"/>
          <w:sz w:val="18"/>
          <w:szCs w:val="18"/>
          <w:color w:val="000000"/>
        </w:rPr>
        <w:t>2025 compared to $125.1 million in 2024</w:t>
      </w:r>
      <w:r>
        <w:rPr>
          <w:rFonts w:ascii="Times New Roman" w:cs="Times New Roman" w:eastAsia="Times New Roman" w:hAnsi="Times New Roman"/>
          <w:sz w:val="18"/>
          <w:szCs w:val="18"/>
          <w:color w:val="181717"/>
        </w:rPr>
        <w:t xml:space="preserve">. The increase was primarily driven by </w:t>
      </w:r>
      <w:r>
        <w:rPr>
          <w:rFonts w:ascii="Times New Roman" w:cs="Times New Roman" w:eastAsia="Times New Roman" w:hAnsi="Times New Roman"/>
          <w:sz w:val="18"/>
          <w:szCs w:val="18"/>
          <w:color w:val="000000"/>
        </w:rPr>
        <w:t>$93.4</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 xml:space="preserve">million </w:t>
      </w:r>
      <w:r>
        <w:rPr>
          <w:rFonts w:ascii="Times New Roman" w:cs="Times New Roman" w:eastAsia="Times New Roman" w:hAnsi="Times New Roman"/>
          <w:sz w:val="18"/>
          <w:szCs w:val="18"/>
          <w:color w:val="181717"/>
        </w:rPr>
        <w:t>of additional revenue generated from the acquisition of Source Atlantic completed in 2024</w:t>
      </w:r>
      <w:r>
        <w:rPr>
          <w:rFonts w:ascii="Times New Roman" w:cs="Times New Roman" w:eastAsia="Times New Roman" w:hAnsi="Times New Roman"/>
          <w:sz w:val="18"/>
          <w:szCs w:val="18"/>
          <w:color w:val="000000"/>
        </w:rPr>
        <w:t>.</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181717"/>
        </w:rPr>
        <w:t xml:space="preserve">Gross profit </w:t>
      </w:r>
      <w:r>
        <w:rPr>
          <w:rFonts w:ascii="Times New Roman" w:cs="Times New Roman" w:eastAsia="Times New Roman" w:hAnsi="Times New Roman"/>
          <w:sz w:val="18"/>
          <w:szCs w:val="18"/>
          <w:color w:val="000000"/>
        </w:rPr>
        <w:t>increased $31.3 million to $73.5 million in 2025 compared to gross profit of $42.2 million in 2024 primarily as a result of the inclusion of</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$30.7 million of additional gross profit from the acquisition of Source Atlantic completed in 2024. G</w:t>
      </w:r>
      <w:r>
        <w:rPr>
          <w:rFonts w:ascii="Times New Roman" w:cs="Times New Roman" w:eastAsia="Times New Roman" w:hAnsi="Times New Roman"/>
          <w:sz w:val="18"/>
          <w:szCs w:val="18"/>
          <w:color w:val="181717"/>
        </w:rPr>
        <w:t>ross profit as a percentage of revenue decreased to</w:t>
      </w:r>
      <w:r>
        <w:rPr>
          <w:rFonts w:ascii="Times New Roman" w:cs="Times New Roman" w:eastAsia="Times New Roman" w:hAnsi="Times New Roman"/>
          <w:sz w:val="18"/>
          <w:szCs w:val="18"/>
          <w:color w:val="000000"/>
        </w:rPr>
        <w:t xml:space="preserve"> 33.2% </w:t>
      </w:r>
      <w:r>
        <w:rPr>
          <w:rFonts w:ascii="Times New Roman" w:cs="Times New Roman" w:eastAsia="Times New Roman" w:hAnsi="Times New Roman"/>
          <w:sz w:val="18"/>
          <w:szCs w:val="18"/>
          <w:color w:val="181717"/>
        </w:rPr>
        <w:t>in</w:t>
      </w:r>
      <w:r>
        <w:rPr>
          <w:rFonts w:ascii="Times New Roman" w:cs="Times New Roman" w:eastAsia="Times New Roman" w:hAnsi="Times New Roman"/>
          <w:sz w:val="18"/>
          <w:szCs w:val="18"/>
          <w:color w:val="000000"/>
        </w:rPr>
        <w:t xml:space="preserve"> 2025 compared to 33.7% </w:t>
      </w:r>
      <w:r>
        <w:rPr>
          <w:rFonts w:ascii="Times New Roman" w:cs="Times New Roman" w:eastAsia="Times New Roman" w:hAnsi="Times New Roman"/>
          <w:sz w:val="18"/>
          <w:szCs w:val="18"/>
          <w:color w:val="181717"/>
        </w:rPr>
        <w:t>in the prior year primarily due to the lower gross profit margin profile of Source Atlantic as compared to Bolt</w:t>
      </w:r>
      <w:r>
        <w:rPr>
          <w:rFonts w:ascii="Times New Roman" w:cs="Times New Roman" w:eastAsia="Times New Roman" w:hAnsi="Times New Roman"/>
          <w:sz w:val="18"/>
          <w:szCs w:val="18"/>
          <w:color w:val="000000"/>
        </w:rPr>
        <w:t>.</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Selling, General and Administrative Expenses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for Canada Branch Division consist of compensation, expenses to operate its distribution network and branch locations and overhead expenses.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181717"/>
        </w:rPr>
        <w:t xml:space="preserve">Selling, general and administrative expenses </w:t>
      </w:r>
      <w:r>
        <w:rPr>
          <w:rFonts w:ascii="Times New Roman" w:cs="Times New Roman" w:eastAsia="Times New Roman" w:hAnsi="Times New Roman"/>
          <w:sz w:val="18"/>
          <w:szCs w:val="18"/>
          <w:color w:val="000000"/>
        </w:rPr>
        <w:t>increased $29.6 million</w:t>
      </w:r>
      <w:r>
        <w:rPr>
          <w:rFonts w:ascii="Times New Roman" w:cs="Times New Roman" w:eastAsia="Times New Roman" w:hAnsi="Times New Roman"/>
          <w:sz w:val="18"/>
          <w:szCs w:val="18"/>
          <w:color w:val="181717"/>
        </w:rPr>
        <w:t xml:space="preserve"> to </w:t>
      </w:r>
      <w:r>
        <w:rPr>
          <w:rFonts w:ascii="Times New Roman" w:cs="Times New Roman" w:eastAsia="Times New Roman" w:hAnsi="Times New Roman"/>
          <w:sz w:val="18"/>
          <w:szCs w:val="18"/>
          <w:color w:val="000000"/>
        </w:rPr>
        <w:t>$65.8 million</w:t>
      </w:r>
      <w:r>
        <w:rPr>
          <w:rFonts w:ascii="Times New Roman" w:cs="Times New Roman" w:eastAsia="Times New Roman" w:hAnsi="Times New Roman"/>
          <w:sz w:val="18"/>
          <w:szCs w:val="18"/>
          <w:color w:val="181717"/>
        </w:rPr>
        <w:t xml:space="preserve"> in </w:t>
      </w:r>
      <w:r>
        <w:rPr>
          <w:rFonts w:ascii="Times New Roman" w:cs="Times New Roman" w:eastAsia="Times New Roman" w:hAnsi="Times New Roman"/>
          <w:sz w:val="18"/>
          <w:szCs w:val="18"/>
          <w:color w:val="000000"/>
        </w:rPr>
        <w:t>2025 compared to $36.2 million in 2024. Approximately $29.6</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 xml:space="preserve">million </w:t>
      </w:r>
      <w:r>
        <w:rPr>
          <w:rFonts w:ascii="Times New Roman" w:cs="Times New Roman" w:eastAsia="Times New Roman" w:hAnsi="Times New Roman"/>
          <w:sz w:val="18"/>
          <w:szCs w:val="18"/>
          <w:color w:val="181717"/>
        </w:rPr>
        <w:t>of the increased expenses, including depreciation, was driven by the acquisition of Source Atlantic completed in 2024.</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Adjusted EBITDA</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181717"/>
        </w:rPr>
        <w:t xml:space="preserve">During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Canada Branch Division</w:t>
      </w:r>
      <w:r>
        <w:rPr>
          <w:rFonts w:ascii="Times New Roman" w:cs="Times New Roman" w:eastAsia="Times New Roman" w:hAnsi="Times New Roman"/>
          <w:sz w:val="18"/>
          <w:szCs w:val="18"/>
          <w:color w:val="181717"/>
        </w:rPr>
        <w:t xml:space="preserve"> generated Adjusted EBITDA of </w:t>
      </w:r>
      <w:r>
        <w:rPr>
          <w:rFonts w:ascii="Times New Roman" w:cs="Times New Roman" w:eastAsia="Times New Roman" w:hAnsi="Times New Roman"/>
          <w:sz w:val="18"/>
          <w:szCs w:val="18"/>
          <w:color w:val="000000"/>
        </w:rPr>
        <w:t>$15.6 million, an increase of $4.0 million, or 34.2% from the same period a</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 xml:space="preserve">year ago with an increase of approximately $3.4 million driven by the acquisition of Source </w:t>
      </w:r>
      <w:r>
        <w:rPr>
          <w:rFonts w:ascii="Times New Roman" w:cs="Times New Roman" w:eastAsia="Times New Roman" w:hAnsi="Times New Roman"/>
          <w:sz w:val="18"/>
          <w:szCs w:val="18"/>
          <w:color w:val="181717"/>
        </w:rPr>
        <w:t>Atlantic completed in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Non-operating Income and Expense</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10"/>
        </w:trPr>
        <w:tc>
          <w:tcPr>
            <w:tcW w:w="3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4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40" w:type="dxa"/>
            <w:vAlign w:val="bottom"/>
          </w:tcPr>
          <w:p>
            <w:pPr>
              <w:spacing w:after="0"/>
              <w:rPr>
                <w:sz w:val="24"/>
                <w:szCs w:val="24"/>
                <w:color w:val="auto"/>
              </w:rPr>
            </w:pPr>
          </w:p>
        </w:tc>
        <w:tc>
          <w:tcPr>
            <w:tcW w:w="2120" w:type="dxa"/>
            <w:vAlign w:val="bottom"/>
            <w:gridSpan w:val="3"/>
          </w:tcPr>
          <w:p>
            <w:pPr>
              <w:ind w:left="1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tcPr>
          <w:p>
            <w:pPr>
              <w:spacing w:after="0"/>
              <w:rPr>
                <w:sz w:val="24"/>
                <w:szCs w:val="24"/>
                <w:color w:val="auto"/>
              </w:rPr>
            </w:pPr>
          </w:p>
        </w:tc>
      </w:tr>
      <w:tr>
        <w:trPr>
          <w:trHeight w:val="223"/>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120" w:type="dxa"/>
            <w:vAlign w:val="bottom"/>
            <w:tcBorders>
              <w:top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2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4"/>
        </w:trPr>
        <w:tc>
          <w:tcPr>
            <w:tcW w:w="372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3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earnout liabilities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4"/>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11,066</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6,796</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62.8 %</w:t>
            </w:r>
          </w:p>
        </w:tc>
      </w:tr>
    </w:tbl>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vertAlign w:val="superscript"/>
        </w:rPr>
        <w:t>N/M</w:t>
      </w:r>
      <w:r>
        <w:rPr>
          <w:rFonts w:ascii="Times New Roman" w:cs="Times New Roman" w:eastAsia="Times New Roman" w:hAnsi="Times New Roman"/>
          <w:sz w:val="16"/>
          <w:szCs w:val="16"/>
          <w:color w:val="auto"/>
        </w:rPr>
        <w:t xml:space="preserve"> Not meaningful</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35" w:name="page36"/>
    <w:bookmarkEnd w:id="35"/>
    <w:p>
      <w:pPr>
        <w:ind w:left="340"/>
        <w:spacing w:after="0"/>
        <w:rPr>
          <w:sz w:val="20"/>
          <w:szCs w:val="20"/>
          <w:color w:val="auto"/>
        </w:rPr>
      </w:pPr>
      <w:r>
        <w:rPr>
          <w:rFonts w:ascii="Times New Roman" w:cs="Times New Roman" w:eastAsia="Times New Roman" w:hAnsi="Times New Roman"/>
          <w:sz w:val="18"/>
          <w:szCs w:val="18"/>
          <w:b w:val="1"/>
          <w:bCs w:val="1"/>
          <w:u w:val="single" w:color="auto"/>
          <w:color w:val="181717"/>
        </w:rPr>
        <w:t>Interest Expense</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expense was flat in 2025 compared to 2024 as higher average borrowings in 2025 were partially offset with lower interest rates in 2025.</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181717"/>
        </w:rPr>
        <w:t>Change in Fair Value of Earnout Liabilities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$1.0 million expense in 2025 and the $1.0 million expense in 2024 related to the change in fair value of the earnout liabilities associated with the Frontier acquisition.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181717"/>
        </w:rPr>
        <w:t>Other Income (Expense), Net</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income (expense), net consists of effects of changes in foreign currency exchange rates, interest income, net and other non-operating income and expenditures. The $2.1 million change in 2025 compared to 2024 was primarily due to unfavorable changes in foreign currency exchange rates and an unfavorable decrease in interest income.</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181717"/>
        </w:rPr>
        <w:t>Income Tax Expense (Benefit)</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Income tax expense was $11.1 million, a 57.0% effective tax rate for the year </w:t>
      </w:r>
      <w:r>
        <w:rPr>
          <w:rFonts w:ascii="Times New Roman" w:cs="Times New Roman" w:eastAsia="Times New Roman" w:hAnsi="Times New Roman"/>
          <w:sz w:val="18"/>
          <w:szCs w:val="18"/>
          <w:color w:val="181717"/>
        </w:rPr>
        <w:t>ended</w:t>
      </w:r>
      <w:r>
        <w:rPr>
          <w:rFonts w:ascii="Times New Roman" w:cs="Times New Roman" w:eastAsia="Times New Roman" w:hAnsi="Times New Roman"/>
          <w:sz w:val="18"/>
          <w:szCs w:val="18"/>
          <w:color w:val="auto"/>
        </w:rPr>
        <w:t xml:space="preserve"> December 31, 2025 compared to income tax expense of $6.8 million and a (1,267.9)% effective tax rate for the prior year. The change in the year-over-year effective tax rate was primarily due to a change in valuation allowances related to interest expense limitation deferred tax assets. The disproportionate effective tax rates were caused by limitations on the deductibility of interest expense and other permanent items on pre-tax income for the year ended December 31, 2025, compared to a small pre-tax loss in the prior year.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and cash equivalents were $61.8 million on December 31, 2025, compared to $66.5 million on December 31, 2024.</w:t>
      </w:r>
    </w:p>
    <w:p>
      <w:pPr>
        <w:spacing w:after="0" w:line="25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believes its current balances of cash and cash equivalents, availability under its Amended Credit Agreement and cash flows from operations will be sufficient to meet its liquidity needs for the next twelve months. In December 2025, the Company amended and expanded the senior secured facility through 2030. The new facility includes $700 million of term debt and a revolving credit arrangement of $400 million, an increase over the previous revolver capacity of $255 million. The Company used the proceeds from the initial term loan to repay the existing $709 million outstanding under the Original Credit Agreement (as defined in Note 9 – Debt within Item 8. Financial Statements and Supplementary Data). Refer to Note 9 – Debt within Item 8. Financial Statements and Supplementary Data for additional information about the Amended Credit Agreement. As of December 31, 2025, the Company had $61.8 million of cash and cash equivalents and $393.7 million of borrowing availability remaining, net of outstanding letters of credit, under the Amended Credit Agreement.</w:t>
      </w:r>
    </w:p>
    <w:p>
      <w:pPr>
        <w:spacing w:after="0" w:line="2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primary short-term and long-term liquidity and capital resource needs are to finance operating expenses, working capital, capital expenditures, potential business acquisitions, strategic initiatives and general corporate purposes. Our current debt obligations under the Amended Credit Agreement mature in December 2030. Required principal payments on the Amended Credit Agreement for the next twelve months are $35.0 million. Refer to Note 9 – Debt within Item 8. Financial Statements and Supplementary Data for additional information related to our debt obligations. Access to debt capital markets has historically provided the Company with sources of liquidity, beyond normal operating cash flows. We do not currently anticipate having difficulty in obtaining financing from those markets in the future, however, we cannot provide assurance that unforeseen events or events beyond our control (such as a potential tightening of debt capital markets, including in response to the implementation of new tariffs as part of the U.S. trade policy and any reciprocal or retaliatory tariffs thereto) will not have a material adverse impact on our liquidity.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181717"/>
              </w:rPr>
              <w:t>Sources and Uses of Cash</w:t>
            </w: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940" w:type="dxa"/>
            <w:vAlign w:val="bottom"/>
            <w:shd w:val="clear" w:color="auto" w:fill="181717"/>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80"/>
        </w:trPr>
        <w:tc>
          <w:tcPr>
            <w:tcW w:w="34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a summary of our cash flows:</w:t>
            </w: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10"/>
        </w:trPr>
        <w:tc>
          <w:tcPr>
            <w:tcW w:w="50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80" w:type="dxa"/>
            <w:vAlign w:val="bottom"/>
          </w:tcPr>
          <w:p>
            <w:pPr>
              <w:spacing w:after="0"/>
              <w:rPr>
                <w:sz w:val="24"/>
                <w:szCs w:val="24"/>
                <w:color w:val="auto"/>
              </w:rPr>
            </w:pP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0" w:type="dxa"/>
            <w:vAlign w:val="bottom"/>
          </w:tcPr>
          <w:p>
            <w:pPr>
              <w:spacing w:after="0"/>
              <w:rPr>
                <w:sz w:val="24"/>
                <w:szCs w:val="24"/>
                <w:color w:val="auto"/>
              </w:rPr>
            </w:pPr>
          </w:p>
        </w:tc>
        <w:tc>
          <w:tcPr>
            <w:tcW w:w="19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420" w:type="dxa"/>
            <w:vAlign w:val="bottom"/>
          </w:tcPr>
          <w:p>
            <w:pPr>
              <w:spacing w:after="0"/>
              <w:rPr>
                <w:sz w:val="24"/>
                <w:szCs w:val="24"/>
                <w:color w:val="auto"/>
              </w:rPr>
            </w:pPr>
          </w:p>
        </w:tc>
        <w:tc>
          <w:tcPr>
            <w:tcW w:w="16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50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rPr>
              <w:t>83,849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56,453</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27,396</w:t>
            </w:r>
          </w:p>
        </w:tc>
      </w:tr>
      <w:tr>
        <w:trPr>
          <w:trHeight w:val="229"/>
        </w:trPr>
        <w:tc>
          <w:tcPr>
            <w:tcW w:w="5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7"/>
              </w:rPr>
              <w:t>(29,492)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(229,683)</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200,191</w:t>
            </w:r>
          </w:p>
        </w:tc>
      </w:tr>
      <w:tr>
        <w:trPr>
          <w:trHeight w:val="229"/>
        </w:trPr>
        <w:tc>
          <w:tcPr>
            <w:tcW w:w="5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97"/>
              </w:rPr>
              <w:t>(64,266)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159,301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(223,567)</w:t>
            </w:r>
          </w:p>
        </w:tc>
      </w:tr>
    </w:tbl>
    <w:p>
      <w:pPr>
        <w:spacing w:after="0" w:line="3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(Used in) Operating Activities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operations for the year ended December 31, 2025 was $83.8 million primarily due to net income including non-cash items, partially offset by investments in trade working capital and other net cash flow items.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operations for the year ended December 31, 2024 was $56.5 million, primarily due to non-cash items, partially offset by a net loss, payments of $34.6 million related to the Hisco retention bonuses and other net cash flow items.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(Used in) Investing Activities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2025 was $29.5 million, primarily due to the purchase of property, plant and equipment and rental equipment, partially offset by the sale of property, plant and equipment and rental equipment.</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2024 was $229.7 million, primarily due to the purchase of ESS, S&amp;S Automotive, Source Atlantic, TCR and ConRes TE as well as purchases of property, plant and equipment and rental equipment. This was partially offset by the sale of property, plant and equipment and rental equipment.</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(Used in) Financing Activities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2025 was $64.3 million primarily due to the repayment of previous indebtedness in conjunction with the December 2025 debt refinancing of the Original Credit Agreement with the Amended Credit Agreement, principal payments on the previous term loans and repurchases of DSG common stock under the repurchase program. This was partially offset by proceeds from the Amended Credit Agreement. During 2025, deferred financing costs of $4.6 million were incurred related to the Amended Credit Agreement.</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2024 was $159.3 million primarily due to borrowings under the Company’s credit facility partially offset by principal payments on the term loans. In conjunction with the Source Atlantic Transaction, the Company borrowed $200 million under the incremental term loan facility on August 14, 2024. During 2024, deferred financing costs of $2.1 million were incurred related to the Original Credit Agreement.</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181717"/>
        </w:rPr>
        <w:t>Financing and Capital Requirements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December 2025, the Company amended and expanded the senior secured facility through 2030. The new facility includes $700 million of term debt and a revolving credit arrangement of $400 million, an increase over the previous revolver capacity of $255 million and permits the Company to increase the commitments under the credit facility from time to time by up to $500 million in the aggregate, subject to, among other things, receipt of additional commitments from existing and/or new lenders and pro forma compliance with certain financial covenants. The Company used the proceeds from the initial term loan to repay the existing $709 million outstanding under the Original Credit Agreement. Refer to Note 9 – Debt within Item 8. Financial Statements and Supplementary Data for additional information about the Amended Credit Agreement.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37" w:name="page38"/>
    <w:bookmarkEnd w:id="37"/>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December 31, 2025, we had $704.4 million in outstanding borrowings under the Amended Credit Agreement and $393.7 million of borrowing availability remaining, net of outstanding letters of credit, under the senior secured revolving credit facility component.</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2025, we were in compliance with all financial covenants under our Amended Credit Agreement. While we were in compliance with our financial covenants as of December 31, 2025, failure to meet the covenant requirements of the Amended Credit Agreement in future quarters could lead to higher financing costs and increased restrictions, reduce or eliminate our ability to borrow funds, or accelerate the payment of our indebtedness and could have a material adverse effect on our business, financial condition and results of operations.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we had contractual commitments to purchase approximately $240 million of products from our suppliers and contractors over the next twelve months.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total net capital expenditures for property, plant and equipment and rental equipment were $26.8 million including proceeds from the sale of property, plant and equipment and rental equipment. The Company expects to spend approximately $25 million to $30 million for net capital expenditures during 2026 to support ongoing operations.</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Board of Directors previously authorized a stock repurchase program that permits the Company to repurchase DSG common stock. The timing and the amount of any repurchases will be determined by management under parameters established by the Board of Directors and depend on various factors including an evaluation of our stock price, corporate and regulatory requirements, capital availability and other market conditions. In November 2025, the Board of Directors increased the existing stock repurchase program by $30.0 million bringing the total authorized stock repurchase program to $67.5 million.</w:t>
      </w:r>
    </w:p>
    <w:p>
      <w:pPr>
        <w:spacing w:after="0" w:line="21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2025, the Company repurchased 776,924 shares of DSG common stock at an average cost of $30.26 per share for a total cost of $23.5 million. During 2024, the Company repurchased 85,644 shares of DSG common stock at an average cost of $30.13 per share for a total cost of $2.6 million. The remaining availability for stock repurchases under the program was $32.9 million at December 31, 2025. See Note 11 – Stockholders’ Equity within Item 8. Financial Statements and Supplementary Data for further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disclosed our significant accounting policies in Note 2 – Summary of Significant Accounting Policies within Item 8. Financial Statements and Supplementary Data. The following provides information on the accounts requiring more significant estimates.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Deferred tax assets or liabilities reflect temporary differences between amounts of assets and liabilities for financial and tax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amounts are adjusted, as appropriate, to reflect changes in enacted tax rates expected to be in effect when the temporary differences reverse. Significant judgment is required in determining income tax provisions as well as deferred tax asset and liability balances, including the estimation of valuation allowances and the evaluation of uncertain tax positions.</w:t>
      </w:r>
    </w:p>
    <w:p>
      <w:pPr>
        <w:spacing w:after="0" w:line="20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Goodwill Impairment - </w:t>
      </w:r>
      <w:r>
        <w:rPr>
          <w:rFonts w:ascii="Times New Roman" w:cs="Times New Roman" w:eastAsia="Times New Roman" w:hAnsi="Times New Roman"/>
          <w:sz w:val="18"/>
          <w:szCs w:val="18"/>
          <w:color w:val="auto"/>
        </w:rPr>
        <w:t>Goodwill represents the cost of business acquisitions in excess of the fair value of identifiable net tangible and intangible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acquired. The Company reviews goodwill for potential impairment annually on October 1st, or when an event or other circumstances change that would more likely than not reduce the fair value of the asset below its carrying value.</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first step in the multi-step process to determine if goodwill has been impaired and to what degree is to review the relevant qualitative factors that could cause the fair value of the reporting unit to decrease below the carrying value of the reporting unit. The Company considers factors such as macroeconomic, industry and market conditions, cost factors, overall</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financial performance and other relevant factors that would affect the individual reporting units. If the Company determines that it is more likely than not that the fair value of the reporting unit is greater than the carrying value of the reporting unit, then no further impairment testing is needed. If the Company determines that it is more likely than not that the carrying value of the reporting unit is greater than the fair value of the reporting unit, the Company will move to the next step in the process. The Company will estimate the fair value of the reporting unit and compare it to the reporting unit’s carrying value. If the carrying value of the reporting unit exceeds its fair value, the Company will record an impairment of goodwill equal to the amount the carrying value of the reporting unit exceeds its fair value, up to the total amount of goodwill previously recognized.</w:t>
      </w:r>
    </w:p>
    <w:p>
      <w:pPr>
        <w:spacing w:after="0" w:line="21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Business Combinations </w:t>
      </w:r>
      <w:r>
        <w:rPr>
          <w:rFonts w:ascii="Times New Roman" w:cs="Times New Roman" w:eastAsia="Times New Roman" w:hAnsi="Times New Roman"/>
          <w:sz w:val="18"/>
          <w:szCs w:val="18"/>
          <w:color w:val="auto"/>
        </w:rPr>
        <w:t>- We allocate the purchase price paid for assets acquired and liabilities assumed in connection with our acquisitions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estimated fair values at the time of acquisition. This allocation involves a number of assumptions, estimates, and judgments in determining the fair value, as of the acquisition date, of the following:</w:t>
      </w:r>
    </w:p>
    <w:p>
      <w:pPr>
        <w:spacing w:after="0" w:line="1" w:lineRule="exact"/>
        <w:rPr>
          <w:sz w:val="20"/>
          <w:szCs w:val="20"/>
          <w:color w:val="auto"/>
        </w:rPr>
      </w:pPr>
    </w:p>
    <w:p>
      <w:pPr>
        <w:jc w:val="both"/>
        <w:ind w:left="660" w:right="14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including the valuation methodology (the relief of royalty method for trade names and multi-period excess earnings method for customer relationships), estimations of future cash flows, discount rates, royalty rates, recurring revenue attributed to customer relationships, and our assumed market segment share, as well as the estimated useful life of intangible assets;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assets and liabilities, uncertain tax positions, and tax-related valuation allowances;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plant and equipment;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pre-existing liabilities or legal claims;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including estimating the likelihood and timing of achieving the relevant thresholds;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as measured as the excess of consideration transferred over the net of the acquisition date fair values of the assets acquired and the liabilities assumed.</w:t>
      </w:r>
    </w:p>
    <w:p>
      <w:pPr>
        <w:spacing w:after="0" w:line="2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assumptions and estimates are based upon comparable market data and information obtained from our management and the management of the acquired companies. We allocate goodwill to the reporting units of the business that are expected to benefit from the business combination.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exposure to market risk for changes in interest rates relate primarily to our floating rate long-term debt obligations. Interest rate risk is the exposure to loss resulting from changes in the level of interest rates and the spread between different interest rates. These risks are highly sensitive to many factors, including U.S. monetary and tax policies, U.S. and international economic factors and other factors beyond our control.</w:t>
      </w:r>
    </w:p>
    <w:p>
      <w:pPr>
        <w:spacing w:after="0" w:line="20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loans under the Amended Credit Agreement bear interest, at the Company’s option, at a rate equal to (i) the Alternate Base Rate or the Canadian Prime Rate (each as defined in the Amended Credit Agreement), plus, in each case, an additional margin ranging from 0.00% to 1.75% per annum, depending on the total net leverage ratio of the Company and its restricted subsidiaries as of the most recent determination date under the Amended Credit Agreement or (ii) the Adjusted Term SOFR Rate or the Adjusted Daily Simple SOFR (each as defined in the Amended Credit Agreement), plus, in each case, an additional margin ranging from 1.00% to 2.75% per annum, depending on the total net leverage ratio of the Company and its restricted subsidiaries as of the most recent determination date under the Amended Credit Agreement. Refer to Note 9 – Debt within Item 8. Financial Statements and Supplementary Data for additional information about the Amended Credit Agreement.</w:t>
      </w:r>
    </w:p>
    <w:p>
      <w:pPr>
        <w:spacing w:after="0" w:line="21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100% of our debt was floating rate debt. A hypothetical increase/decrease in interest rates of 100 basis points would increase/decrease our annual interest expense by approximately $7.0 million. We have not entered into, and currently do not intend to enter into, interest rate swaps or other derivative financial instruments to mitigate the impact of fluctuations in interest rates.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480" w:type="dxa"/>
            <w:vAlign w:val="bottom"/>
          </w:tcPr>
          <w:p>
            <w:pPr>
              <w:spacing w:after="0"/>
              <w:rPr>
                <w:sz w:val="20"/>
                <w:szCs w:val="20"/>
                <w:color w:val="auto"/>
              </w:rPr>
            </w:pPr>
          </w:p>
        </w:tc>
      </w:tr>
      <w:tr>
        <w:trPr>
          <w:trHeight w:val="459"/>
        </w:trPr>
        <w:tc>
          <w:tcPr>
            <w:tcW w:w="10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information is presented in this item:</w:t>
            </w:r>
          </w:p>
        </w:tc>
        <w:tc>
          <w:tcPr>
            <w:tcW w:w="480" w:type="dxa"/>
            <w:vAlign w:val="bottom"/>
          </w:tcPr>
          <w:p>
            <w:pPr>
              <w:spacing w:after="0"/>
              <w:rPr>
                <w:sz w:val="24"/>
                <w:szCs w:val="24"/>
                <w:color w:val="auto"/>
              </w:rPr>
            </w:pPr>
          </w:p>
        </w:tc>
      </w:tr>
      <w:tr>
        <w:trPr>
          <w:trHeight w:val="216"/>
        </w:trPr>
        <w:tc>
          <w:tcPr>
            <w:tcW w:w="1074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Page #</w:t>
            </w:r>
          </w:p>
        </w:tc>
      </w:tr>
      <w:tr>
        <w:trPr>
          <w:trHeight w:val="245"/>
        </w:trPr>
        <w:tc>
          <w:tcPr>
            <w:tcW w:w="10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(Grant Thornton, LLP; Dallas, Texas; PCAOB ID#248)</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10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Balance Sheets as of December 31, 2025 and 2024</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10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Income (Loss) for the Years ended December 31, 2025, 2024 and 2023</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10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 for the Years ended December 31, 2025, 2024 and 2023</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10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2025, 2024 and 2023</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10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Solutions Group, Inc.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Distribution Solutions Group, Inc. (a Delaware corporation) and subsidiaries (the “Company”) as of December 31, 2025 and 2024, the related consolidated statements of operations and comprehensive income (loss), changes in stockholders’ equity, and cash flows for each of the three years in the period ended December 31, 2025, and the related notes and financial statement schedule included under Item 15(a)(1)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2025,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March 5, 2026 expressed an unqualified opinion.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Distribution Solutions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tcBorders>
              <w:bottom w:val="single" w:sz="8" w:color="auto"/>
            </w:tcBorders>
          </w:tcPr>
          <w:p>
            <w:pPr>
              <w:spacing w:after="0"/>
              <w:rPr>
                <w:sz w:val="20"/>
                <w:szCs w:val="20"/>
                <w:color w:val="auto"/>
              </w:rPr>
            </w:pPr>
          </w:p>
        </w:tc>
      </w:tr>
      <w:tr>
        <w:trPr>
          <w:trHeight w:val="223"/>
        </w:trPr>
        <w:tc>
          <w:tcPr>
            <w:tcW w:w="75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540" w:type="dxa"/>
            <w:vAlign w:val="bottom"/>
            <w:shd w:val="clear" w:color="auto" w:fill="CCEEFF"/>
          </w:tcPr>
          <w:p>
            <w:pPr>
              <w:ind w:left="34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61,753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66,479</w:t>
            </w: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15,247</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less allowances of $6,472 and $2,416, respectively</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271,331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250,717</w:t>
            </w: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353,374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348,226</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46,893</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31,505</w:t>
            </w:r>
          </w:p>
        </w:tc>
      </w:tr>
      <w:tr>
        <w:trPr>
          <w:trHeight w:val="223"/>
        </w:trPr>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746,924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712,174</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126,605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125,524</w:t>
            </w: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equipment, net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39,376</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467,905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462,789</w:t>
            </w: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 net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 intangibles, net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143,503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171,184</w:t>
            </w: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 and other intangibles, net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82,552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98,579</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value of life insurance</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19,916</w:t>
            </w: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 of use operating lease assets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111,117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91,962</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8,296</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w:t>
            </w:r>
          </w:p>
        </w:tc>
      </w:tr>
      <w:tr>
        <w:trPr>
          <w:trHeight w:val="223"/>
        </w:trPr>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1,748,621</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1,727,255</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6"/>
        </w:trPr>
        <w:tc>
          <w:tcPr>
            <w:tcW w:w="7540" w:type="dxa"/>
            <w:vAlign w:val="bottom"/>
            <w:shd w:val="clear" w:color="auto" w:fill="CCEEFF"/>
          </w:tcPr>
          <w:p>
            <w:pPr>
              <w:ind w:left="18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151,234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125,575</w:t>
            </w: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40,476</w:t>
            </w: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18,951</w:t>
            </w:r>
          </w:p>
        </w:tc>
      </w:tr>
      <w:tr>
        <w:trPr>
          <w:trHeight w:val="230"/>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84,137</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81,259</w:t>
            </w:r>
          </w:p>
        </w:tc>
      </w:tr>
      <w:tr>
        <w:trPr>
          <w:trHeight w:val="223"/>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291,465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266,261</w:t>
            </w: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 net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664,196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693,903</w:t>
            </w: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98,821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77,758</w:t>
            </w: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22,265</w:t>
            </w: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24,645</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26,525</w:t>
            </w:r>
          </w:p>
        </w:tc>
      </w:tr>
      <w:tr>
        <w:trPr>
          <w:trHeight w:val="223"/>
        </w:trPr>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1,099,274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1,086,712</w:t>
            </w: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$1 par value:</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Authorized - 500,000 shares, issued and outstanding - None</w:t>
            </w:r>
          </w:p>
        </w:tc>
        <w:tc>
          <w:tcPr>
            <w:tcW w:w="4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$1 par value:</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175"/>
        </w:trPr>
        <w:tc>
          <w:tcPr>
            <w:tcW w:w="75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Authorized - 70,000,000 shares</w:t>
            </w: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4"/>
        </w:trPr>
        <w:tc>
          <w:tcPr>
            <w:tcW w:w="754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Issued - 47,860,312 and 47,738,290 shares, respectively</w:t>
            </w: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4"/>
        </w:trPr>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Outstanding - 46,180,700 and 46,856,757 shares, respectively</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46,180</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46,856</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686,183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677,473</w:t>
            </w: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deficit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(42,039)</w:t>
            </w: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stock - 1,679,612 and 881,533 shares, respectively</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(19,631)</w:t>
            </w:r>
          </w:p>
        </w:tc>
      </w:tr>
      <w:tr>
        <w:trPr>
          <w:trHeight w:val="229"/>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(22,116)</w:t>
            </w:r>
          </w:p>
        </w:tc>
      </w:tr>
      <w:tr>
        <w:trPr>
          <w:trHeight w:val="223"/>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649,347</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640,543</w:t>
            </w:r>
          </w:p>
        </w:tc>
      </w:tr>
      <w:tr>
        <w:trPr>
          <w:trHeight w:val="223"/>
        </w:trPr>
        <w:tc>
          <w:tcPr>
            <w:tcW w:w="75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1,748,621</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1,727,255</w:t>
            </w:r>
          </w:p>
        </w:tc>
      </w:tr>
      <w:tr>
        <w:trPr>
          <w:trHeight w:val="20"/>
        </w:trPr>
        <w:tc>
          <w:tcPr>
            <w:tcW w:w="7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Distribution Solutions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56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1,980,023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1,804,104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1,570,402</w:t>
            </w:r>
          </w:p>
        </w:tc>
      </w:tr>
      <w:tr>
        <w:trPr>
          <w:trHeight w:val="229"/>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1,317,985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1,190,329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1,018,527</w:t>
            </w:r>
          </w:p>
        </w:tc>
      </w:tr>
      <w:tr>
        <w:trPr>
          <w:trHeight w:val="22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662,038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613,775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551,875</w:t>
            </w:r>
          </w:p>
        </w:tc>
      </w:tr>
      <w:tr>
        <w:trPr>
          <w:trHeight w:val="256"/>
        </w:trPr>
        <w:tc>
          <w:tcPr>
            <w:tcW w:w="5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583,775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557,820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508,884</w:t>
            </w:r>
          </w:p>
        </w:tc>
      </w:tr>
      <w:tr>
        <w:trPr>
          <w:trHeight w:val="22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42,991</w:t>
            </w:r>
          </w:p>
        </w:tc>
      </w:tr>
      <w:tr>
        <w:trPr>
          <w:trHeight w:val="257"/>
        </w:trPr>
        <w:tc>
          <w:tcPr>
            <w:tcW w:w="56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2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(42,774)</w:t>
            </w: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earnout liabilities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29"/>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(2,982)</w:t>
            </w:r>
          </w:p>
        </w:tc>
      </w:tr>
      <w:tr>
        <w:trPr>
          <w:trHeight w:val="237"/>
        </w:trPr>
        <w:tc>
          <w:tcPr>
            <w:tcW w:w="56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2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6,960</w:t>
            </w:r>
          </w:p>
        </w:tc>
      </w:tr>
      <w:tr>
        <w:trPr>
          <w:trHeight w:val="237"/>
        </w:trPr>
        <w:tc>
          <w:tcPr>
            <w:tcW w:w="5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4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8,345</w:t>
            </w:r>
          </w:p>
        </w:tc>
        <w:tc>
          <w:tcPr>
            <w:tcW w:w="52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(8,967)</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0"/>
        </w:trPr>
        <w:tc>
          <w:tcPr>
            <w:tcW w:w="5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Basic income (loss) per share of common stock</w:t>
            </w:r>
            <w:r>
              <w:rPr>
                <w:rFonts w:ascii="Times New Roman" w:cs="Times New Roman" w:eastAsia="Times New Roman" w:hAnsi="Times New Roman"/>
                <w:sz w:val="23"/>
                <w:szCs w:val="23"/>
                <w:b w:val="1"/>
                <w:bCs w:val="1"/>
                <w:color w:val="auto"/>
                <w:vertAlign w:val="superscript"/>
              </w:rPr>
              <w:t>(1)</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52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5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49"/>
        </w:trPr>
        <w:tc>
          <w:tcPr>
            <w:tcW w:w="5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Diluted income (loss) per share of common stock</w:t>
            </w:r>
            <w:r>
              <w:rPr>
                <w:rFonts w:ascii="Times New Roman" w:cs="Times New Roman" w:eastAsia="Times New Roman" w:hAnsi="Times New Roman"/>
                <w:sz w:val="23"/>
                <w:szCs w:val="23"/>
                <w:b w:val="1"/>
                <w:bCs w:val="1"/>
                <w:color w:val="auto"/>
                <w:vertAlign w:val="superscript"/>
              </w:rPr>
              <w:t>(1)</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52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5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8,345</w:t>
            </w:r>
          </w:p>
        </w:tc>
        <w:tc>
          <w:tcPr>
            <w:tcW w:w="52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(8,967)</w:t>
            </w: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w:t>
            </w:r>
          </w:p>
        </w:tc>
      </w:tr>
      <w:tr>
        <w:trPr>
          <w:trHeight w:val="230"/>
        </w:trPr>
        <w:tc>
          <w:tcPr>
            <w:tcW w:w="5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3"/>
        </w:trPr>
        <w:tc>
          <w:tcPr>
            <w:tcW w:w="5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25,137</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(24,278)</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(4,181)</w:t>
            </w:r>
          </w:p>
        </w:tc>
      </w:tr>
      <w:tr>
        <w:trPr>
          <w:trHeight w:val="20"/>
        </w:trPr>
        <w:tc>
          <w:tcPr>
            <w:tcW w:w="5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hanging="172"/>
        <w:spacing w:after="0" w:line="232" w:lineRule="auto"/>
        <w:tabs>
          <w:tab w:leader="none" w:pos="185"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accompanying Consolidated Financial Statements and notes thereto have been retroactively adjusted to reflect the two-for-one stock split completed in August 2023. See Note 1 – Nature of Operations and Basis of Presentation for details.</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Distribution Solutions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80" w:type="dxa"/>
            <w:vAlign w:val="bottom"/>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Common Stock</w:t>
            </w:r>
            <w:r>
              <w:rPr>
                <w:rFonts w:ascii="Times New Roman" w:cs="Times New Roman" w:eastAsia="Times New Roman" w:hAnsi="Times New Roman"/>
                <w:sz w:val="18"/>
                <w:szCs w:val="18"/>
                <w:color w:val="auto"/>
                <w:vertAlign w:val="superscript"/>
              </w:rPr>
              <w:t>(1)</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Accumulated Other</w:t>
            </w:r>
          </w:p>
        </w:tc>
        <w:tc>
          <w:tcPr>
            <w:tcW w:w="120" w:type="dxa"/>
            <w:vAlign w:val="bottom"/>
          </w:tcPr>
          <w:p>
            <w:pPr>
              <w:spacing w:after="0"/>
              <w:rPr>
                <w:sz w:val="18"/>
                <w:szCs w:val="18"/>
                <w:color w:val="auto"/>
              </w:rPr>
            </w:pPr>
          </w:p>
        </w:tc>
        <w:tc>
          <w:tcPr>
            <w:tcW w:w="100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124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color w:val="auto"/>
              </w:rPr>
              <w:t>Outstanding</w:t>
            </w:r>
          </w:p>
        </w:tc>
        <w:tc>
          <w:tcPr>
            <w:tcW w:w="9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$1 Par Value</w:t>
            </w:r>
          </w:p>
        </w:tc>
        <w:tc>
          <w:tcPr>
            <w:tcW w:w="116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color w:val="auto"/>
              </w:rPr>
              <w:t>Capital in Excess</w:t>
            </w:r>
          </w:p>
        </w:tc>
        <w:tc>
          <w:tcPr>
            <w:tcW w:w="160" w:type="dxa"/>
            <w:vAlign w:val="bottom"/>
          </w:tcPr>
          <w:p>
            <w:pPr>
              <w:spacing w:after="0"/>
              <w:rPr>
                <w:sz w:val="12"/>
                <w:szCs w:val="12"/>
                <w:color w:val="auto"/>
              </w:rPr>
            </w:pPr>
          </w:p>
        </w:tc>
        <w:tc>
          <w:tcPr>
            <w:tcW w:w="8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color w:val="auto"/>
              </w:rPr>
              <w:t>Retained</w:t>
            </w:r>
          </w:p>
        </w:tc>
        <w:tc>
          <w:tcPr>
            <w:tcW w:w="1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Treasury Stock</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color w:val="auto"/>
              </w:rPr>
              <w:t>Comprehensive</w:t>
            </w:r>
          </w:p>
        </w:tc>
        <w:tc>
          <w:tcPr>
            <w:tcW w:w="120" w:type="dxa"/>
            <w:vAlign w:val="bottom"/>
          </w:tcPr>
          <w:p>
            <w:pPr>
              <w:spacing w:after="0"/>
              <w:rPr>
                <w:sz w:val="12"/>
                <w:szCs w:val="12"/>
                <w:color w:val="auto"/>
              </w:rPr>
            </w:pPr>
          </w:p>
        </w:tc>
        <w:tc>
          <w:tcPr>
            <w:tcW w:w="1000" w:type="dxa"/>
            <w:vAlign w:val="bottom"/>
          </w:tcPr>
          <w:p>
            <w:pPr>
              <w:jc w:val="center"/>
              <w:ind w:right="48"/>
              <w:spacing w:after="0" w:line="142"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Shares</w:t>
            </w:r>
          </w:p>
        </w:tc>
        <w:tc>
          <w:tcPr>
            <w:tcW w:w="92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of Par Value</w:t>
            </w:r>
            <w:r>
              <w:rPr>
                <w:rFonts w:ascii="Times New Roman" w:cs="Times New Roman" w:eastAsia="Times New Roman" w:hAnsi="Times New Roman"/>
                <w:sz w:val="18"/>
                <w:szCs w:val="18"/>
                <w:color w:val="auto"/>
                <w:vertAlign w:val="superscript"/>
              </w:rPr>
              <w:t>(1)</w:t>
            </w:r>
          </w:p>
        </w:tc>
        <w:tc>
          <w:tcPr>
            <w:tcW w:w="16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7"/>
              </w:rPr>
              <w:t>Deficit</w:t>
            </w:r>
          </w:p>
        </w:tc>
        <w:tc>
          <w:tcPr>
            <w:tcW w:w="104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Income (Loss)</w:t>
            </w:r>
          </w:p>
        </w:tc>
        <w:tc>
          <w:tcPr>
            <w:tcW w:w="120" w:type="dxa"/>
            <w:vAlign w:val="bottom"/>
          </w:tcPr>
          <w:p>
            <w:pPr>
              <w:spacing w:after="0"/>
              <w:rPr>
                <w:sz w:val="17"/>
                <w:szCs w:val="17"/>
                <w:color w:val="auto"/>
              </w:rPr>
            </w:pPr>
          </w:p>
        </w:tc>
        <w:tc>
          <w:tcPr>
            <w:tcW w:w="100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96"/>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38,833,568</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38,834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572,379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(25,736)</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562,995</w:t>
            </w:r>
          </w:p>
        </w:tc>
        <w:tc>
          <w:tcPr>
            <w:tcW w:w="0" w:type="dxa"/>
            <w:vAlign w:val="bottom"/>
          </w:tcPr>
          <w:p>
            <w:pPr>
              <w:spacing w:after="0"/>
              <w:rPr>
                <w:sz w:val="1"/>
                <w:szCs w:val="1"/>
                <w:color w:val="auto"/>
              </w:rPr>
            </w:pPr>
          </w:p>
        </w:tc>
      </w:tr>
      <w:tr>
        <w:trPr>
          <w:trHeight w:val="195"/>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(8,967)</w:t>
            </w: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4,906</w:t>
            </w:r>
          </w:p>
        </w:tc>
        <w:tc>
          <w:tcPr>
            <w:tcW w:w="0" w:type="dxa"/>
            <w:vAlign w:val="bottom"/>
          </w:tcPr>
          <w:p>
            <w:pPr>
              <w:spacing w:after="0"/>
              <w:rPr>
                <w:sz w:val="1"/>
                <w:szCs w:val="1"/>
                <w:color w:val="auto"/>
              </w:rPr>
            </w:pPr>
          </w:p>
        </w:tc>
      </w:tr>
      <w:tr>
        <w:trPr>
          <w:trHeight w:val="195"/>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3,732</w:t>
            </w: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liability paid in shares</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195"/>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issued</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85,842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issued - earnout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3,400,000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in rights offering</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4,444,444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98,469</w:t>
            </w: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issued through employee share purchase plan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3,253</w:t>
            </w:r>
          </w:p>
        </w:tc>
        <w:tc>
          <w:tcPr>
            <w:tcW w:w="0" w:type="dxa"/>
            <w:vAlign w:val="bottom"/>
          </w:tcPr>
          <w:p>
            <w:pPr>
              <w:spacing w:after="0"/>
              <w:rPr>
                <w:sz w:val="1"/>
                <w:szCs w:val="1"/>
                <w:color w:val="auto"/>
              </w:rPr>
            </w:pPr>
          </w:p>
        </w:tc>
      </w:tr>
      <w:tr>
        <w:trPr>
          <w:trHeight w:val="139"/>
        </w:trPr>
        <w:tc>
          <w:tcPr>
            <w:tcW w:w="33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Compensation expense related to employee share</w:t>
            </w: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0" w:type="dxa"/>
            <w:vAlign w:val="bottom"/>
          </w:tcPr>
          <w:p>
            <w:pPr>
              <w:spacing w:after="0"/>
              <w:rPr>
                <w:sz w:val="1"/>
                <w:szCs w:val="1"/>
                <w:color w:val="auto"/>
              </w:rPr>
            </w:pPr>
          </w:p>
        </w:tc>
      </w:tr>
      <w:tr>
        <w:trPr>
          <w:trHeight w:val="193"/>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plan</w:t>
            </w:r>
          </w:p>
        </w:tc>
        <w:tc>
          <w:tcPr>
            <w:tcW w:w="12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r>
              <w:rPr>
                <w:rFonts w:ascii="Times New Roman" w:cs="Times New Roman" w:eastAsia="Times New Roman" w:hAnsi="Times New Roman"/>
                <w:sz w:val="18"/>
                <w:szCs w:val="18"/>
                <w:color w:val="auto"/>
                <w:vertAlign w:val="superscript"/>
              </w:rPr>
              <w:t>(2)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(3,619)</w:t>
            </w:r>
          </w:p>
        </w:tc>
        <w:tc>
          <w:tcPr>
            <w:tcW w:w="0" w:type="dxa"/>
            <w:vAlign w:val="bottom"/>
          </w:tcPr>
          <w:p>
            <w:pPr>
              <w:spacing w:after="0"/>
              <w:rPr>
                <w:sz w:val="1"/>
                <w:szCs w:val="1"/>
                <w:color w:val="auto"/>
              </w:rPr>
            </w:pPr>
          </w:p>
        </w:tc>
      </w:tr>
      <w:tr>
        <w:trPr>
          <w:trHeight w:val="139"/>
        </w:trPr>
        <w:tc>
          <w:tcPr>
            <w:tcW w:w="33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 withholdings related to net share settlements of</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(11,378)</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193"/>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awards</w:t>
            </w: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(3)</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0" w:type="dxa"/>
            <w:vAlign w:val="bottom"/>
          </w:tcPr>
          <w:p>
            <w:pPr>
              <w:spacing w:after="0"/>
              <w:rPr>
                <w:sz w:val="1"/>
                <w:szCs w:val="1"/>
                <w:color w:val="auto"/>
              </w:rPr>
            </w:pPr>
          </w:p>
        </w:tc>
      </w:tr>
      <w:tr>
        <w:trPr>
          <w:trHeight w:val="196"/>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46,758,359</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46,758</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671,154</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(34,707)</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(16,434)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661,601</w:t>
            </w:r>
          </w:p>
        </w:tc>
        <w:tc>
          <w:tcPr>
            <w:tcW w:w="0" w:type="dxa"/>
            <w:vAlign w:val="bottom"/>
          </w:tcPr>
          <w:p>
            <w:pPr>
              <w:spacing w:after="0"/>
              <w:rPr>
                <w:sz w:val="1"/>
                <w:szCs w:val="1"/>
                <w:color w:val="auto"/>
              </w:rPr>
            </w:pP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(7,332)</w:t>
            </w:r>
          </w:p>
        </w:tc>
        <w:tc>
          <w:tcPr>
            <w:tcW w:w="0" w:type="dxa"/>
            <w:vAlign w:val="bottom"/>
          </w:tcPr>
          <w:p>
            <w:pPr>
              <w:spacing w:after="0"/>
              <w:rPr>
                <w:sz w:val="1"/>
                <w:szCs w:val="1"/>
                <w:color w:val="auto"/>
              </w:rPr>
            </w:pPr>
          </w:p>
        </w:tc>
      </w:tr>
      <w:tr>
        <w:trPr>
          <w:trHeight w:val="195"/>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(16,946)</w:t>
            </w: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4,467</w:t>
            </w:r>
          </w:p>
        </w:tc>
        <w:tc>
          <w:tcPr>
            <w:tcW w:w="0" w:type="dxa"/>
            <w:vAlign w:val="bottom"/>
          </w:tcPr>
          <w:p>
            <w:pPr>
              <w:spacing w:after="0"/>
              <w:rPr>
                <w:sz w:val="1"/>
                <w:szCs w:val="1"/>
                <w:color w:val="auto"/>
              </w:rPr>
            </w:pPr>
          </w:p>
        </w:tc>
      </w:tr>
      <w:tr>
        <w:trPr>
          <w:trHeight w:val="195"/>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liability paid in shares</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issued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Repurchases of common stock</w:t>
            </w:r>
            <w:r>
              <w:rPr>
                <w:rFonts w:ascii="Times New Roman" w:cs="Times New Roman" w:eastAsia="Times New Roman" w:hAnsi="Times New Roman"/>
                <w:sz w:val="18"/>
                <w:szCs w:val="18"/>
                <w:color w:val="auto"/>
                <w:vertAlign w:val="superscript"/>
              </w:rPr>
              <w:t>(2)</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(85,644)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(2,580)</w:t>
            </w:r>
          </w:p>
        </w:tc>
        <w:tc>
          <w:tcPr>
            <w:tcW w:w="0" w:type="dxa"/>
            <w:vAlign w:val="bottom"/>
          </w:tcPr>
          <w:p>
            <w:pPr>
              <w:spacing w:after="0"/>
              <w:rPr>
                <w:sz w:val="1"/>
                <w:szCs w:val="1"/>
                <w:color w:val="auto"/>
              </w:rPr>
            </w:pPr>
          </w:p>
        </w:tc>
      </w:tr>
      <w:tr>
        <w:trPr>
          <w:trHeight w:val="139"/>
        </w:trPr>
        <w:tc>
          <w:tcPr>
            <w:tcW w:w="33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Tax withholdings related to net share settlements of</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(18,630)</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0" w:type="dxa"/>
            <w:vAlign w:val="bottom"/>
          </w:tcPr>
          <w:p>
            <w:pPr>
              <w:spacing w:after="0"/>
              <w:rPr>
                <w:sz w:val="1"/>
                <w:szCs w:val="1"/>
                <w:color w:val="auto"/>
              </w:rPr>
            </w:pPr>
          </w:p>
        </w:tc>
      </w:tr>
      <w:tr>
        <w:trPr>
          <w:trHeight w:val="19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awards</w:t>
            </w:r>
          </w:p>
        </w:tc>
        <w:tc>
          <w:tcPr>
            <w:tcW w:w="1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46,856,757</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46,856</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677,473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(42,039)</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(19,631)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(22,116)</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640,543</w:t>
            </w:r>
          </w:p>
        </w:tc>
        <w:tc>
          <w:tcPr>
            <w:tcW w:w="0" w:type="dxa"/>
            <w:vAlign w:val="bottom"/>
          </w:tcPr>
          <w:p>
            <w:pPr>
              <w:spacing w:after="0"/>
              <w:rPr>
                <w:sz w:val="1"/>
                <w:szCs w:val="1"/>
                <w:color w:val="auto"/>
              </w:rPr>
            </w:pP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8,345</w:t>
            </w:r>
          </w:p>
        </w:tc>
        <w:tc>
          <w:tcPr>
            <w:tcW w:w="0" w:type="dxa"/>
            <w:vAlign w:val="bottom"/>
          </w:tcPr>
          <w:p>
            <w:pPr>
              <w:spacing w:after="0"/>
              <w:rPr>
                <w:sz w:val="1"/>
                <w:szCs w:val="1"/>
                <w:color w:val="auto"/>
              </w:rPr>
            </w:pPr>
          </w:p>
        </w:tc>
      </w:tr>
      <w:tr>
        <w:trPr>
          <w:trHeight w:val="195"/>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16,792</w:t>
            </w: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7,157</w:t>
            </w:r>
          </w:p>
        </w:tc>
        <w:tc>
          <w:tcPr>
            <w:tcW w:w="0" w:type="dxa"/>
            <w:vAlign w:val="bottom"/>
          </w:tcPr>
          <w:p>
            <w:pPr>
              <w:spacing w:after="0"/>
              <w:rPr>
                <w:sz w:val="1"/>
                <w:szCs w:val="1"/>
                <w:color w:val="auto"/>
              </w:rPr>
            </w:pPr>
          </w:p>
        </w:tc>
      </w:tr>
      <w:tr>
        <w:trPr>
          <w:trHeight w:val="195"/>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issued</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r>
              <w:rPr>
                <w:rFonts w:ascii="Times New Roman" w:cs="Times New Roman" w:eastAsia="Times New Roman" w:hAnsi="Times New Roman"/>
                <w:sz w:val="18"/>
                <w:szCs w:val="18"/>
                <w:color w:val="auto"/>
                <w:vertAlign w:val="superscript"/>
              </w:rPr>
              <w:t>(2)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(776,924)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(23,753)</w:t>
            </w:r>
          </w:p>
        </w:tc>
        <w:tc>
          <w:tcPr>
            <w:tcW w:w="0" w:type="dxa"/>
            <w:vAlign w:val="bottom"/>
          </w:tcPr>
          <w:p>
            <w:pPr>
              <w:spacing w:after="0"/>
              <w:rPr>
                <w:sz w:val="1"/>
                <w:szCs w:val="1"/>
                <w:color w:val="auto"/>
              </w:rPr>
            </w:pPr>
          </w:p>
        </w:tc>
      </w:tr>
      <w:tr>
        <w:trPr>
          <w:trHeight w:val="139"/>
        </w:trPr>
        <w:tc>
          <w:tcPr>
            <w:tcW w:w="33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 withholdings related to net share settlements of</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(21,155)</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0" w:type="dxa"/>
            <w:vAlign w:val="bottom"/>
          </w:tcPr>
          <w:p>
            <w:pPr>
              <w:spacing w:after="0"/>
              <w:rPr>
                <w:sz w:val="1"/>
                <w:szCs w:val="1"/>
                <w:color w:val="auto"/>
              </w:rPr>
            </w:pPr>
          </w:p>
        </w:tc>
      </w:tr>
      <w:tr>
        <w:trPr>
          <w:trHeight w:val="193"/>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awards</w:t>
            </w: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(3)</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46,180,700</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46,180</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686,183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(33,694)</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(43,998)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(5,324)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649,347</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180" w:hanging="172"/>
        <w:spacing w:after="0" w:line="225" w:lineRule="auto"/>
        <w:tabs>
          <w:tab w:leader="none" w:pos="185"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accompanying Consolidated Financial Statements and notes thereto have been retroactively adjusted to reflect the two-for-one stock split completed in August 2023. See Note 1 – Nature of Operations and Basis of Presentation for details.</w:t>
      </w:r>
    </w:p>
    <w:p>
      <w:pPr>
        <w:spacing w:after="0" w:line="1" w:lineRule="exact"/>
        <w:rPr>
          <w:rFonts w:ascii="Times New Roman" w:cs="Times New Roman" w:eastAsia="Times New Roman" w:hAnsi="Times New Roman"/>
          <w:sz w:val="21"/>
          <w:szCs w:val="21"/>
          <w:color w:val="auto"/>
          <w:vertAlign w:val="superscript"/>
        </w:rPr>
      </w:pPr>
    </w:p>
    <w:p>
      <w:pPr>
        <w:ind w:left="180" w:hanging="172"/>
        <w:spacing w:after="0"/>
        <w:tabs>
          <w:tab w:leader="none" w:pos="18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adjustments for net excise tax liability.</w:t>
      </w:r>
    </w:p>
    <w:p>
      <w:pPr>
        <w:spacing w:after="0" w:line="64" w:lineRule="exact"/>
        <w:rPr>
          <w:rFonts w:ascii="Times New Roman" w:cs="Times New Roman" w:eastAsia="Times New Roman" w:hAnsi="Times New Roman"/>
          <w:sz w:val="21"/>
          <w:szCs w:val="21"/>
          <w:color w:val="auto"/>
          <w:vertAlign w:val="superscript"/>
        </w:rPr>
      </w:pPr>
    </w:p>
    <w:p>
      <w:pPr>
        <w:ind w:left="180" w:hanging="172"/>
        <w:spacing w:after="0" w:line="191" w:lineRule="auto"/>
        <w:tabs>
          <w:tab w:leader="none" w:pos="18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Adjustments for rounding.</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Distribution Solutions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income (loss)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(8,967)</w:t>
            </w: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Adjustments to reconcile to net cash used in operating activities: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63,588</w:t>
            </w: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w:t>
            </w:r>
          </w:p>
        </w:tc>
        <w:tc>
          <w:tcPr>
            <w:tcW w:w="0" w:type="dxa"/>
            <w:vAlign w:val="bottom"/>
          </w:tcPr>
          <w:p>
            <w:pPr>
              <w:spacing w:after="0"/>
              <w:rPr>
                <w:sz w:val="1"/>
                <w:szCs w:val="1"/>
                <w:color w:val="auto"/>
              </w:rPr>
            </w:pPr>
          </w:p>
        </w:tc>
      </w:tr>
      <w:tr>
        <w:trPr>
          <w:trHeight w:val="213"/>
        </w:trPr>
        <w:tc>
          <w:tcPr>
            <w:tcW w:w="7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Stock-based compensation</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7,940</w:t>
            </w: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Compensation expense related to employee share purchases</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0" w:type="dxa"/>
            <w:vAlign w:val="bottom"/>
          </w:tcPr>
          <w:p>
            <w:pPr>
              <w:spacing w:after="0"/>
              <w:rPr>
                <w:sz w:val="1"/>
                <w:szCs w:val="1"/>
                <w:color w:val="auto"/>
              </w:rPr>
            </w:pPr>
          </w:p>
        </w:tc>
      </w:tr>
      <w:tr>
        <w:trPr>
          <w:trHeight w:val="213"/>
        </w:trPr>
        <w:tc>
          <w:tcPr>
            <w:tcW w:w="7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(8,028)</w:t>
            </w: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Change in fair value of earnout liabilities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0" w:type="dxa"/>
            <w:vAlign w:val="bottom"/>
          </w:tcPr>
          <w:p>
            <w:pPr>
              <w:spacing w:after="0"/>
              <w:rPr>
                <w:sz w:val="1"/>
                <w:szCs w:val="1"/>
                <w:color w:val="auto"/>
              </w:rPr>
            </w:pPr>
          </w:p>
        </w:tc>
      </w:tr>
      <w:tr>
        <w:trPr>
          <w:trHeight w:val="213"/>
        </w:trPr>
        <w:tc>
          <w:tcPr>
            <w:tcW w:w="7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(Gain) loss on sale of rental equipment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(2,675)</w:t>
            </w: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(Gain) loss on sale of property, plant and equipment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0" w:type="dxa"/>
            <w:vAlign w:val="bottom"/>
          </w:tcPr>
          <w:p>
            <w:pPr>
              <w:spacing w:after="0"/>
              <w:rPr>
                <w:sz w:val="1"/>
                <w:szCs w:val="1"/>
                <w:color w:val="auto"/>
              </w:rPr>
            </w:pPr>
          </w:p>
        </w:tc>
      </w:tr>
      <w:tr>
        <w:trPr>
          <w:trHeight w:val="213"/>
        </w:trPr>
        <w:tc>
          <w:tcPr>
            <w:tcW w:w="7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Charge for step-up of acquired inventory</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3,582</w:t>
            </w: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realizable value adjustment and write-offs for obsolete and excess inventory</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8,990</w:t>
            </w:r>
          </w:p>
        </w:tc>
        <w:tc>
          <w:tcPr>
            <w:tcW w:w="0" w:type="dxa"/>
            <w:vAlign w:val="bottom"/>
          </w:tcPr>
          <w:p>
            <w:pPr>
              <w:spacing w:after="0"/>
              <w:rPr>
                <w:sz w:val="1"/>
                <w:szCs w:val="1"/>
                <w:color w:val="auto"/>
              </w:rPr>
            </w:pPr>
          </w:p>
        </w:tc>
      </w:tr>
      <w:tr>
        <w:trPr>
          <w:trHeight w:val="213"/>
        </w:trPr>
        <w:tc>
          <w:tcPr>
            <w:tcW w:w="7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Bad debt expense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18,020</w:t>
            </w: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w:t>
            </w:r>
          </w:p>
        </w:tc>
        <w:tc>
          <w:tcPr>
            <w:tcW w:w="0" w:type="dxa"/>
            <w:vAlign w:val="bottom"/>
          </w:tcPr>
          <w:p>
            <w:pPr>
              <w:spacing w:after="0"/>
              <w:rPr>
                <w:sz w:val="1"/>
                <w:szCs w:val="1"/>
                <w:color w:val="auto"/>
              </w:rPr>
            </w:pPr>
          </w:p>
        </w:tc>
      </w:tr>
      <w:tr>
        <w:trPr>
          <w:trHeight w:val="213"/>
        </w:trPr>
        <w:tc>
          <w:tcPr>
            <w:tcW w:w="7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3,048</w:t>
            </w:r>
          </w:p>
        </w:tc>
        <w:tc>
          <w:tcPr>
            <w:tcW w:w="0" w:type="dxa"/>
            <w:vAlign w:val="bottom"/>
          </w:tcPr>
          <w:p>
            <w:pPr>
              <w:spacing w:after="0"/>
              <w:rPr>
                <w:sz w:val="1"/>
                <w:szCs w:val="1"/>
                <w:color w:val="auto"/>
              </w:rPr>
            </w:pPr>
          </w:p>
        </w:tc>
      </w:tr>
      <w:tr>
        <w:trPr>
          <w:trHeight w:val="213"/>
        </w:trPr>
        <w:tc>
          <w:tcPr>
            <w:tcW w:w="7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13,667</w:t>
            </w: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changes in operating assets and liabilities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0" w:type="dxa"/>
            <w:vAlign w:val="bottom"/>
          </w:tcPr>
          <w:p>
            <w:pPr>
              <w:spacing w:after="0"/>
              <w:rPr>
                <w:sz w:val="1"/>
                <w:szCs w:val="1"/>
                <w:color w:val="auto"/>
              </w:rPr>
            </w:pPr>
          </w:p>
        </w:tc>
      </w:tr>
      <w:tr>
        <w:trPr>
          <w:trHeight w:val="207"/>
        </w:trPr>
        <w:tc>
          <w:tcPr>
            <w:tcW w:w="72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83,849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56,453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102,286</w:t>
            </w:r>
          </w:p>
        </w:tc>
        <w:tc>
          <w:tcPr>
            <w:tcW w:w="0" w:type="dxa"/>
            <w:vAlign w:val="bottom"/>
          </w:tcPr>
          <w:p>
            <w:pPr>
              <w:spacing w:after="0"/>
              <w:rPr>
                <w:sz w:val="1"/>
                <w:szCs w:val="1"/>
                <w:color w:val="auto"/>
              </w:rPr>
            </w:pPr>
          </w:p>
        </w:tc>
      </w:tr>
      <w:tr>
        <w:trPr>
          <w:trHeight w:val="19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(15,337)</w:t>
            </w: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sale of property, plant and equipment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Business acquisitions, net of cash acquired</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(199,423)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(259,835)</w:t>
            </w: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Asset acquisitions</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Purchases of rental equipment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(9,341)</w:t>
            </w: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sale of rental equipment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5,990</w:t>
            </w:r>
          </w:p>
        </w:tc>
        <w:tc>
          <w:tcPr>
            <w:tcW w:w="0" w:type="dxa"/>
            <w:vAlign w:val="bottom"/>
          </w:tcPr>
          <w:p>
            <w:pPr>
              <w:spacing w:after="0"/>
              <w:rPr>
                <w:sz w:val="1"/>
                <w:szCs w:val="1"/>
                <w:color w:val="auto"/>
              </w:rPr>
            </w:pPr>
          </w:p>
        </w:tc>
      </w:tr>
      <w:tr>
        <w:trPr>
          <w:trHeight w:val="213"/>
        </w:trPr>
        <w:tc>
          <w:tcPr>
            <w:tcW w:w="7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28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(29,492)</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(229,683)</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(278,523)</w:t>
            </w:r>
          </w:p>
        </w:tc>
        <w:tc>
          <w:tcPr>
            <w:tcW w:w="0" w:type="dxa"/>
            <w:vAlign w:val="bottom"/>
          </w:tcPr>
          <w:p>
            <w:pPr>
              <w:spacing w:after="0"/>
              <w:rPr>
                <w:sz w:val="1"/>
                <w:szCs w:val="1"/>
                <w:color w:val="auto"/>
              </w:rPr>
            </w:pPr>
          </w:p>
        </w:tc>
      </w:tr>
      <w:tr>
        <w:trPr>
          <w:trHeight w:val="194"/>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revolving lines of credit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264,757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180,982</w:t>
            </w:r>
          </w:p>
        </w:tc>
        <w:tc>
          <w:tcPr>
            <w:tcW w:w="0" w:type="dxa"/>
            <w:vAlign w:val="bottom"/>
          </w:tcPr>
          <w:p>
            <w:pPr>
              <w:spacing w:after="0"/>
              <w:rPr>
                <w:sz w:val="1"/>
                <w:szCs w:val="1"/>
                <w:color w:val="auto"/>
              </w:rPr>
            </w:pPr>
          </w:p>
        </w:tc>
      </w:tr>
      <w:tr>
        <w:trPr>
          <w:trHeight w:val="213"/>
        </w:trPr>
        <w:tc>
          <w:tcPr>
            <w:tcW w:w="7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Payments on revolving lines of credit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(260,660)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(213,634)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(302,083)</w:t>
            </w: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term loans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305,000</w:t>
            </w:r>
          </w:p>
        </w:tc>
        <w:tc>
          <w:tcPr>
            <w:tcW w:w="0" w:type="dxa"/>
            <w:vAlign w:val="bottom"/>
          </w:tcPr>
          <w:p>
            <w:pPr>
              <w:spacing w:after="0"/>
              <w:rPr>
                <w:sz w:val="1"/>
                <w:szCs w:val="1"/>
                <w:color w:val="auto"/>
              </w:rPr>
            </w:pPr>
          </w:p>
        </w:tc>
      </w:tr>
      <w:tr>
        <w:trPr>
          <w:trHeight w:val="213"/>
        </w:trPr>
        <w:tc>
          <w:tcPr>
            <w:tcW w:w="7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Payments on term loans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(739,625)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(26,375)</w:t>
            </w: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financing costs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(3,419)</w:t>
            </w:r>
          </w:p>
        </w:tc>
        <w:tc>
          <w:tcPr>
            <w:tcW w:w="0" w:type="dxa"/>
            <w:vAlign w:val="bottom"/>
          </w:tcPr>
          <w:p>
            <w:pPr>
              <w:spacing w:after="0"/>
              <w:rPr>
                <w:sz w:val="1"/>
                <w:szCs w:val="1"/>
                <w:color w:val="auto"/>
              </w:rPr>
            </w:pPr>
          </w:p>
        </w:tc>
      </w:tr>
      <w:tr>
        <w:trPr>
          <w:trHeight w:val="213"/>
        </w:trPr>
        <w:tc>
          <w:tcPr>
            <w:tcW w:w="7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rights offering, net of offering costs of $1,531</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98,469</w:t>
            </w: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(3,619)</w:t>
            </w:r>
          </w:p>
        </w:tc>
        <w:tc>
          <w:tcPr>
            <w:tcW w:w="0" w:type="dxa"/>
            <w:vAlign w:val="bottom"/>
          </w:tcPr>
          <w:p>
            <w:pPr>
              <w:spacing w:after="0"/>
              <w:rPr>
                <w:sz w:val="1"/>
                <w:szCs w:val="1"/>
                <w:color w:val="auto"/>
              </w:rPr>
            </w:pPr>
          </w:p>
        </w:tc>
      </w:tr>
      <w:tr>
        <w:trPr>
          <w:trHeight w:val="213"/>
        </w:trPr>
        <w:tc>
          <w:tcPr>
            <w:tcW w:w="7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Shares repurchased held in treasury</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employees for share purchases</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3,253</w:t>
            </w:r>
          </w:p>
        </w:tc>
        <w:tc>
          <w:tcPr>
            <w:tcW w:w="0" w:type="dxa"/>
            <w:vAlign w:val="bottom"/>
          </w:tcPr>
          <w:p>
            <w:pPr>
              <w:spacing w:after="0"/>
              <w:rPr>
                <w:sz w:val="1"/>
                <w:szCs w:val="1"/>
                <w:color w:val="auto"/>
              </w:rPr>
            </w:pPr>
          </w:p>
        </w:tc>
      </w:tr>
      <w:tr>
        <w:trPr>
          <w:trHeight w:val="213"/>
        </w:trPr>
        <w:tc>
          <w:tcPr>
            <w:tcW w:w="7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 option exercises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Payment of financing lease principal</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0" w:type="dxa"/>
            <w:vAlign w:val="bottom"/>
          </w:tcPr>
          <w:p>
            <w:pPr>
              <w:spacing w:after="0"/>
              <w:rPr>
                <w:sz w:val="1"/>
                <w:szCs w:val="1"/>
                <w:color w:val="auto"/>
              </w:rPr>
            </w:pPr>
          </w:p>
        </w:tc>
      </w:tr>
      <w:tr>
        <w:trPr>
          <w:trHeight w:val="213"/>
        </w:trPr>
        <w:tc>
          <w:tcPr>
            <w:tcW w:w="7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Payment of earnout</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2"/>
        </w:trPr>
        <w:tc>
          <w:tcPr>
            <w:tcW w:w="728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(64,266)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159,301</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250,406</w:t>
            </w:r>
          </w:p>
        </w:tc>
        <w:tc>
          <w:tcPr>
            <w:tcW w:w="0" w:type="dxa"/>
            <w:vAlign w:val="bottom"/>
          </w:tcPr>
          <w:p>
            <w:pPr>
              <w:spacing w:after="0"/>
              <w:rPr>
                <w:sz w:val="1"/>
                <w:szCs w:val="1"/>
                <w:color w:val="auto"/>
              </w:rPr>
            </w:pPr>
          </w:p>
        </w:tc>
      </w:tr>
      <w:tr>
        <w:trPr>
          <w:trHeight w:val="207"/>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Increase (decrease) in cash, cash equivalents and restricted cash</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74,886</w:t>
            </w:r>
          </w:p>
        </w:tc>
        <w:tc>
          <w:tcPr>
            <w:tcW w:w="0" w:type="dxa"/>
            <w:vAlign w:val="bottom"/>
          </w:tcPr>
          <w:p>
            <w:pPr>
              <w:spacing w:after="0"/>
              <w:rPr>
                <w:sz w:val="1"/>
                <w:szCs w:val="1"/>
                <w:color w:val="auto"/>
              </w:rPr>
            </w:pPr>
          </w:p>
        </w:tc>
      </w:tr>
      <w:tr>
        <w:trPr>
          <w:trHeight w:val="213"/>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81,726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99,626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24,740</w:t>
            </w:r>
          </w:p>
        </w:tc>
        <w:tc>
          <w:tcPr>
            <w:tcW w:w="0" w:type="dxa"/>
            <w:vAlign w:val="bottom"/>
          </w:tcPr>
          <w:p>
            <w:pPr>
              <w:spacing w:after="0"/>
              <w:rPr>
                <w:sz w:val="1"/>
                <w:szCs w:val="1"/>
                <w:color w:val="auto"/>
              </w:rPr>
            </w:pPr>
          </w:p>
        </w:tc>
      </w:tr>
      <w:tr>
        <w:trPr>
          <w:trHeight w:val="237"/>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75,326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81,726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99,626</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280" w:type="dxa"/>
            <w:vAlign w:val="bottom"/>
            <w:vMerge w:val="continue"/>
          </w:tcPr>
          <w:p>
            <w:pPr>
              <w:spacing w:after="0"/>
              <w:rPr>
                <w:sz w:val="16"/>
                <w:szCs w:val="16"/>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61,753</w:t>
            </w:r>
          </w:p>
        </w:tc>
        <w:tc>
          <w:tcPr>
            <w:tcW w:w="100" w:type="dxa"/>
            <w:vAlign w:val="bottom"/>
          </w:tcPr>
          <w:p>
            <w:pPr>
              <w:spacing w:after="0"/>
              <w:rPr>
                <w:sz w:val="16"/>
                <w:szCs w:val="16"/>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66,479</w:t>
            </w:r>
          </w:p>
        </w:tc>
        <w:tc>
          <w:tcPr>
            <w:tcW w:w="100" w:type="dxa"/>
            <w:vAlign w:val="bottom"/>
          </w:tcPr>
          <w:p>
            <w:pPr>
              <w:spacing w:after="0"/>
              <w:rPr>
                <w:sz w:val="16"/>
                <w:szCs w:val="16"/>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83,931</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15,695</w:t>
            </w:r>
          </w:p>
        </w:tc>
        <w:tc>
          <w:tcPr>
            <w:tcW w:w="0" w:type="dxa"/>
            <w:vAlign w:val="bottom"/>
          </w:tcPr>
          <w:p>
            <w:pPr>
              <w:spacing w:after="0"/>
              <w:rPr>
                <w:sz w:val="1"/>
                <w:szCs w:val="1"/>
                <w:color w:val="auto"/>
              </w:rPr>
            </w:pPr>
          </w:p>
        </w:tc>
      </w:tr>
      <w:tr>
        <w:trPr>
          <w:trHeight w:val="212"/>
        </w:trPr>
        <w:tc>
          <w:tcPr>
            <w:tcW w:w="7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75,326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81,726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99,626</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240"/>
          </w:cols>
          <w:pgMar w:left="320" w:top="121" w:right="339"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Distribution Solutions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11"/>
        </w:trPr>
        <w:tc>
          <w:tcPr>
            <w:tcW w:w="624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52"/>
        </w:trPr>
        <w:tc>
          <w:tcPr>
            <w:tcW w:w="6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6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cash paid for income taxes</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18,187</w:t>
            </w:r>
          </w:p>
        </w:tc>
        <w:tc>
          <w:tcPr>
            <w:tcW w:w="5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15,259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12,422</w:t>
            </w:r>
          </w:p>
        </w:tc>
      </w:tr>
      <w:tr>
        <w:trPr>
          <w:trHeight w:val="219"/>
        </w:trPr>
        <w:tc>
          <w:tcPr>
            <w:tcW w:w="6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cash paid for interest</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51,872</w:t>
            </w:r>
          </w:p>
        </w:tc>
        <w:tc>
          <w:tcPr>
            <w:tcW w:w="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38,048</w:t>
            </w:r>
          </w:p>
        </w:tc>
      </w:tr>
      <w:tr>
        <w:trPr>
          <w:trHeight w:val="213"/>
        </w:trPr>
        <w:tc>
          <w:tcPr>
            <w:tcW w:w="6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cash paid for interest on supply chain financing</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2,725</w:t>
            </w:r>
          </w:p>
        </w:tc>
        <w:tc>
          <w:tcPr>
            <w:tcW w:w="5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2,581</w:t>
            </w:r>
          </w:p>
        </w:tc>
      </w:tr>
      <w:tr>
        <w:trPr>
          <w:trHeight w:val="273"/>
        </w:trPr>
        <w:tc>
          <w:tcPr>
            <w:tcW w:w="6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13"/>
        </w:trPr>
        <w:tc>
          <w:tcPr>
            <w:tcW w:w="6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Non-cash activities:</w:t>
            </w: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6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Additions of property, plant and equipment included in accounts payable</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r>
      <w:tr>
        <w:trPr>
          <w:trHeight w:val="213"/>
        </w:trPr>
        <w:tc>
          <w:tcPr>
            <w:tcW w:w="62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Right of use assets obtained in exchange for finance lease liabilities</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5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w:t>
            </w:r>
          </w:p>
        </w:tc>
      </w:tr>
      <w:tr>
        <w:trPr>
          <w:trHeight w:val="219"/>
        </w:trPr>
        <w:tc>
          <w:tcPr>
            <w:tcW w:w="6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Right of use assets obtained in exchange for operating lease liabilities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38,877</w:t>
            </w:r>
          </w:p>
        </w:tc>
        <w:tc>
          <w:tcPr>
            <w:tcW w:w="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19,424</w:t>
            </w: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Distribution Solutions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Operations and Basis of Presentation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Distribution Solutions Group, Inc. (“DSG”), a Delaware corporation, is a global specialty distribution company providing value added distribution solutions to the maintenance, repair and operations (“MRO”), original equipment manufacturer (“OEM”) and industrial technology markets.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Annual Report on Form 10-K to “DSG”, the “Company”, “we”, “our” or “us” refer to Distribution Solutions Group, Inc., and all entities consolidated in the accompanying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 and Nature of Operations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Change in Reportable Segments</w:t>
      </w:r>
    </w:p>
    <w:p>
      <w:pPr>
        <w:spacing w:after="0" w:line="25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Source Atlantic Transaction (as defined in Note 3 – Business and Asset Acquisitions) during the third quarter of 2024, the Company realigned its reportable segments to align with our business strategy and the manner in which our chief operating decision maker (“CODM”) assesses performance and strategic execution and makes decisions regarding the allocation of resources.</w:t>
      </w:r>
    </w:p>
    <w:p>
      <w:pPr>
        <w:spacing w:after="0" w:line="20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Prior to the third quarter of 2024, the Company had three reportable segments: Lawson, TestEquity and Gexpro Services. The Company also had an “All Other” category which included unallocated DSG holding company costs that were not directly attributable to the ongoing operating activities of our reportable segments and included the results of the Bolt Supply House (“Bolt”) non-reportable segment. Beginning in the third quarter of 2024, the Company has four reporting segments: Lawson, TestEquity, Gexpro Services and Canada Branch Division. Canada Branch Division includes the results of Bolt and Source Atlantic (which we acquired during the third quarter of 2024 as described in Note 3 – Business and Asset Acquisitions). No changes were made to the Lawson, TestEquity and Gexpro Services reportable segments. The “All Other” category now includes only unallocated DSG holding company costs that are not directly attributable to the ongoing operating activities of our reportable segments.</w:t>
      </w:r>
    </w:p>
    <w:p>
      <w:pPr>
        <w:spacing w:after="0" w:line="21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segment realignment had no impact on our financial condition or results of operations. Prior period segment results have been recast to reflect our new reportable segments. Additional information regarding DSG’s reportable segments is presented in Note 14 – Segment Information.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Nature of Operations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nature of operations for our reportable segments is presented below</w:t>
      </w:r>
      <w:r>
        <w:rPr>
          <w:rFonts w:ascii="Times New Roman" w:cs="Times New Roman" w:eastAsia="Times New Roman" w:hAnsi="Times New Roman"/>
          <w:sz w:val="18"/>
          <w:szCs w:val="18"/>
          <w:color w:val="EE2724"/>
        </w:rPr>
        <w:t>.</w:t>
      </w:r>
    </w:p>
    <w:p>
      <w:pPr>
        <w:spacing w:after="0" w:line="25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Lawson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distributor of specialty products and services to the industrial, commercial, institutional and governmental MRO marketplace. Lawson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distributes MRO products to its customers through a network of sales representatives and an inside sales channel throughout the United States and Canada.</w:t>
      </w:r>
    </w:p>
    <w:p>
      <w:pPr>
        <w:spacing w:after="0" w:line="20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TestEquity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distributor of test and measurement equipment and solutions, industrial and electronic production supplies, vendor managed inventory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and converting, fabrication and adhesive solutions from its leading manufacturer partners supporting the aerospace and defense, wireless and communication, semiconductors, industrial electronics and automotive, and electronics manufacturing industries.</w:t>
      </w:r>
    </w:p>
    <w:p>
      <w:pPr>
        <w:spacing w:after="0" w:line="20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Gexpro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global supply chain solutions provider, specializing in the development of mission critical production line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aftermarket and field installation programs.</w:t>
      </w:r>
    </w:p>
    <w:p>
      <w:pPr>
        <w:spacing w:after="0" w:line="18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Canada Branch Division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combines the operations of our Bolt and Source Atlantic subsidiaries, which distribute industrial MRO supplies, safety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fasteners, power tools and related value-add services to the Canadian MRO market through the sale of products and services via warehouse shipments and to its walk-up customers through 35 branch locations.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Basis of Presentation and Consolidation</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and include the accounts and transactions of the Company and its wholly-owned subsidiaries. All significant intercompany transactions and balances have been eliminated in consolidation.</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2023 Stock Split</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August 15, 2023, DSG announced that its Board of Directors approved and declared a two-for-one stock split (the “Stock Split”) which entitled each stockholder of record as of the close of business on August 25, 2023 to receive one additional share of DSG common stock for each share of DSG common stock then-held. The additional shares were distributed after the close of trading on August 31, 2023, and shares of DSG common stock began trading at the split-adjusted basis on September 1, 2023. Accordingly, all share and per share amounts have been retroactively adjusted to reflect the impact of the Stock Split for all periods presented herein. Refer to Note 11 – Stockholders’ Equity for additional information about the Stock Split.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w:t>
      </w:r>
    </w:p>
    <w:p>
      <w:pPr>
        <w:spacing w:after="0" w:line="2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u w:val="single" w:color="auto"/>
          <w:color w:val="auto"/>
        </w:rPr>
        <w:t>Revenue from Contracts with Customers:</w:t>
      </w:r>
      <w:r>
        <w:rPr>
          <w:rFonts w:ascii="Times New Roman" w:cs="Times New Roman" w:eastAsia="Times New Roman" w:hAnsi="Times New Roman"/>
          <w:sz w:val="18"/>
          <w:szCs w:val="18"/>
          <w:color w:val="auto"/>
        </w:rPr>
        <w:t xml:space="preserve"> Revenue is measured as the amount of consideration the Company expects to receive in exchange for transferring a product or providing a service. A majority of the Company’s revenue is short cycle in nature with shipments within one year of the order. A small portion of the Company’s revenue derives from contracts extending over one year and in some cases may have optional renewal terms if both parties agree to renew. The Company’s payment terms generally range between 10 to 120 days and vary by contract, the types of products sold and the volume of products sold, among other factors. Revenue includes product sales, services and billings for shipping charges, net of discounts, expected returns, rebates and sales tax. Estimates for rebates and expected returns is based on historical experience. The Company includes shipping costs billed to customers in Revenue and the related shipping costs in Cost of goods sold in the Consolidated Statements of Operations and Comprehensive Income (Loss).</w:t>
      </w:r>
    </w:p>
    <w:p>
      <w:pPr>
        <w:spacing w:after="0" w:line="21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u w:val="single" w:color="auto"/>
          <w:color w:val="auto"/>
        </w:rPr>
        <w:t>Performance Obligations</w:t>
      </w:r>
      <w:r>
        <w:rPr>
          <w:rFonts w:ascii="Times New Roman" w:cs="Times New Roman" w:eastAsia="Times New Roman" w:hAnsi="Times New Roman"/>
          <w:sz w:val="18"/>
          <w:szCs w:val="18"/>
          <w:color w:val="auto"/>
        </w:rPr>
        <w:t>: A majority of the Company’s contracts have a performance obligation which represents, in most cases, the product being sold to the customer. Some contracts include a second performance obligation to provide additional Vendor Managed Inventory (“VMI”) services primarily related to monitoring and stocking. Although the Company has identified that it offers some customers both a product and a service obligation, the customer only receives one invoice per transaction with no price allocation between these obligations. The Company does not price its offerings based on any allocation between these obligations.</w:t>
      </w:r>
    </w:p>
    <w:p>
      <w:pPr>
        <w:spacing w:after="0" w:line="21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portion of the Company’s contracts offer assurance-type warranties in connection with the sale of a product to the customer. Assurance-type warranties provide a customer with assurance that the related product will function as parties intended because it complies with the agreed-upon specifications. Such warranties are not significant and do not represent a separate performance obligation.</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Select contracts with customers include variable consideration primarily related to volume rebates if predetermined thresholds are met. The Company estimates variable consideration using the expected-value method considering all reasonably available information, including experience, current, historical, and forecasted. Estimated amounts are included in the transaction price to the extent it is probable that a significant reversal of cumulative revenue recognized will not occur when the uncertainty associated with the variable consideration is resolved.</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Over 95% of the Company’s performance obligations are recognized at a point in time, rather than over time, as the Company completes its performance obligations. Specifically, revenue is recognized when control transfers to the customer, typically upon shipment or receipt by the customer. Less than 5% of the Company’s revenue is recognized over time and relates to services, in which the Company transfers control of a good or service over time and the customer simultaneously receives and consumes the benefits. That portion of expected consideration is deferred until the time that those services have been provided and the related performance obligations have been satisfied.</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revenue recognized over time, the input method is utilized and is based on costs incurred relative to estimated total costs.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u w:val="single" w:color="auto"/>
          <w:color w:val="auto"/>
        </w:rPr>
        <w:t>Contract Costs</w:t>
      </w:r>
      <w:r>
        <w:rPr>
          <w:rFonts w:ascii="Times New Roman" w:cs="Times New Roman" w:eastAsia="Times New Roman" w:hAnsi="Times New Roman"/>
          <w:sz w:val="18"/>
          <w:szCs w:val="18"/>
          <w:color w:val="auto"/>
        </w:rPr>
        <w:t xml:space="preserve">: The Company has adopted the practical expedient within ASC 340, </w:t>
      </w:r>
      <w:r>
        <w:rPr>
          <w:rFonts w:ascii="Times New Roman" w:cs="Times New Roman" w:eastAsia="Times New Roman" w:hAnsi="Times New Roman"/>
          <w:sz w:val="18"/>
          <w:szCs w:val="18"/>
          <w:i w:val="1"/>
          <w:iCs w:val="1"/>
          <w:color w:val="auto"/>
        </w:rPr>
        <w:t>Other Assets and Deferred Costs</w:t>
      </w:r>
      <w:r>
        <w:rPr>
          <w:rFonts w:ascii="Times New Roman" w:cs="Times New Roman" w:eastAsia="Times New Roman" w:hAnsi="Times New Roman"/>
          <w:sz w:val="18"/>
          <w:szCs w:val="18"/>
          <w:color w:val="auto"/>
        </w:rPr>
        <w:t xml:space="preserve"> (“ASC 340”), to recognize incremental costs to obtain a contract, primarily employee related costs, as expense when incurred since the amortization period of the asset that the Company otherwise would have recognized is one year or less.</w:t>
      </w:r>
    </w:p>
    <w:p>
      <w:pPr>
        <w:spacing w:after="0" w:line="2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u w:val="single" w:color="auto"/>
          <w:color w:val="auto"/>
        </w:rPr>
        <w:t>Rental Revenue</w:t>
      </w:r>
      <w:r>
        <w:rPr>
          <w:rFonts w:ascii="Times New Roman" w:cs="Times New Roman" w:eastAsia="Times New Roman" w:hAnsi="Times New Roman"/>
          <w:sz w:val="18"/>
          <w:szCs w:val="18"/>
          <w:color w:val="auto"/>
        </w:rPr>
        <w:t xml:space="preserve">: The Company determines if a contract contains a lease at inception. A contract contains a lease if it conveys the right to control the use of an identified asset for a period of time in exchange for consideration. The Lawson and TestEquity segments operate as a lessor and rent certain equipment to customers through leases classified as operating leases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Lease revenue is recognized on a straight-line basis over the life of each lease. As there are trivial non-lease components, the Company has adopted the practical expedient not to separate the non-lease components that would be within the scope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from the associated lease component as the relevant criteria under ASC 842 are met.</w:t>
      </w:r>
    </w:p>
    <w:p>
      <w:pPr>
        <w:spacing w:after="0" w:line="21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Cash Equivalents, and Restricted Cash </w:t>
      </w:r>
      <w:r>
        <w:rPr>
          <w:rFonts w:ascii="Times New Roman" w:cs="Times New Roman" w:eastAsia="Times New Roman" w:hAnsi="Times New Roman"/>
          <w:sz w:val="18"/>
          <w:szCs w:val="18"/>
          <w:color w:val="auto"/>
        </w:rPr>
        <w:t>— The Company considers all liquid investments with a maturity of three months or less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purchased to be cash equivalents. The carrying amount of the Company’s cash equivalents at December 31, 2025 and December 31, 2024 approximates fair value. Cash balances at individual banks may exceed the federally insured limit by the Federal Deposit Insurance Corporation (the “FDIC”). The Company has not experienced any material losses in such accounts.</w:t>
      </w:r>
    </w:p>
    <w:p>
      <w:pPr>
        <w:spacing w:after="0" w:line="20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Allowance for Credit Losses </w:t>
      </w:r>
      <w:r>
        <w:rPr>
          <w:rFonts w:ascii="Times New Roman" w:cs="Times New Roman" w:eastAsia="Times New Roman" w:hAnsi="Times New Roman"/>
          <w:sz w:val="18"/>
          <w:szCs w:val="18"/>
          <w:color w:val="auto"/>
        </w:rPr>
        <w:t>— The Company evaluates the collectibility of accounts receivable based on a combination of factors. In circumstances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 the Company is aware of a specific customer’s inability to meet its financial obligations (e.g., bankruptcy filings, substantial down-grading of credit ratings), a specific reserve for bad debts is recorded against amounts due to reduce the receivable to the amount the Company reasonably believes will be collected. For all other customers, the Company recognizes reserves for bad debts based on current and forecasted probability of collection, economic conditions, historical experience of bad debt write-offs as a percentage of accounts receivable outstanding, and other significant events that may impact the collectibility of accounts receivable. Uncollected trade receivables are written off when identified to be unrecoverable.</w:t>
      </w:r>
    </w:p>
    <w:p>
      <w:pPr>
        <w:spacing w:after="0" w:line="20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 Inventories principally consist of purchased finished products and manufactured electronic equipment offered for resale stated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of cost or net realizable value using the first-in-first-out method for the Lawson segment and primarily the weighted average method for the TestEquity, Gexpro Services and Canada Branch Division segments. Most of our products are not exposed to the risk of obsolescence due to technology changes. However, some of our products do have a limited shelf life, and from time to time we add and remove items from our catalogs, brochures or website for marketing and other purposes.</w:t>
      </w:r>
    </w:p>
    <w:p>
      <w:pPr>
        <w:spacing w:after="0" w:line="21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reduce the cost basis of inventory to a lower of cost or net realizable value, a write-down is recorded for slow-moving and obsolete inventory based on historical experience and monitoring of current inventory activity. Estimates are used to determine the necessity of recording these write-downs based on periodic detailed analysis using both qualitative and quantitative factors. As part of this analysis, the Company considers several factors including the inventories’ length of time on hand, historical sales, product shelf life, product life cycle, product category and product obsolescence. In general, depending on the product category, we write-down inventory with low turnover at higher rates than inventory with higher turnover.</w:t>
      </w:r>
    </w:p>
    <w:p>
      <w:pPr>
        <w:spacing w:after="0" w:line="2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Property, Plant and Equipment </w:t>
      </w:r>
      <w:r>
        <w:rPr>
          <w:rFonts w:ascii="Times New Roman" w:cs="Times New Roman" w:eastAsia="Times New Roman" w:hAnsi="Times New Roman"/>
          <w:sz w:val="18"/>
          <w:szCs w:val="18"/>
          <w:color w:val="auto"/>
        </w:rPr>
        <w:t>— Property, plant and equipment are stated at cost less accumulated depreciation and amortization. Depreciation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is computed primarily by the straight-line method for buildings, machinery and equipment, furniture and fixtures and vehicles. The Company estimates useful lives of 10 to 40 years for buildings and improvements, the shorter of the useful life of the assets or term of the underlying leases for leasehold improvements, and 2 to 10 years for machinery and equipment, furniture and fixtures and vehicles. Capitalized software is amortized over estimated useful lives of 3 to 5 years using the straight-line method. The costs of repairs, maintenance and minor renewals are charged to expense as incurred. Amortization of financing leases is included in depreciation expense. When property, plant and equipment are retired, sold, or otherwise disposed of, the asset’s carrying amount and related accumulated depreciation are removed from the accounts and any gain or loss is included in the income from operations.</w:t>
      </w:r>
    </w:p>
    <w:p>
      <w:pPr>
        <w:spacing w:after="0" w:line="21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Rental Equipment </w:t>
      </w:r>
      <w:r>
        <w:rPr>
          <w:rFonts w:ascii="Times New Roman" w:cs="Times New Roman" w:eastAsia="Times New Roman" w:hAnsi="Times New Roman"/>
          <w:sz w:val="18"/>
          <w:szCs w:val="18"/>
          <w:color w:val="auto"/>
        </w:rPr>
        <w:t>— Rental equipment is stated at cost less accumulated depreciation and amortization. Expense is computed primarily by the straight-line method over an estimated useful life of 3 to 7 years. Upon sale or retirement of such assets, the related cost and accumulated depreciation are removed from the Consolidated Balance Sheets, and gains or losses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are reflected in operating income (loss) within the Consolidated Statements of Operations and Comprehensive Income (Loss). The costs of repairs, maintenance and minor renewals are charged to expense as incurred.</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Value of Life Insurance </w:t>
      </w:r>
      <w:r>
        <w:rPr>
          <w:rFonts w:ascii="Times New Roman" w:cs="Times New Roman" w:eastAsia="Times New Roman" w:hAnsi="Times New Roman"/>
          <w:sz w:val="18"/>
          <w:szCs w:val="18"/>
          <w:color w:val="auto"/>
        </w:rPr>
        <w:t>— The Company invests funds in life insurance policies for certain current and former employees. The cash surrender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the policies is invested in various investment instruments and is recorded as an asset in the Consolidated Balance Sheets. The Company records these policies at their contractual value. The change in the cash surrender value of the life insurance policies, which is recorded as a component of Other income (expense) in the Consolidated Statements of Operations and Comprehensive Income (Loss), is the change in the policies’ contractual values.</w:t>
      </w:r>
    </w:p>
    <w:p>
      <w:pPr>
        <w:spacing w:after="0" w:line="20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Security Bonus Plan </w:t>
      </w:r>
      <w:r>
        <w:rPr>
          <w:rFonts w:ascii="Times New Roman" w:cs="Times New Roman" w:eastAsia="Times New Roman" w:hAnsi="Times New Roman"/>
          <w:sz w:val="18"/>
          <w:szCs w:val="18"/>
          <w:color w:val="auto"/>
        </w:rPr>
        <w:t>— The Company has a security bonus plan which was previously created for the benefit of its Lawson independent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 under the terms of which participants are credited with a percentage of their annual net commissions. The aggregate amounts credited to participants’ accounts vest 25% after five years, and an additional 5% vests each year thereafter upon qualification for the plan. On January 1, 2013, the Company converted all of its Lawson U.S. independent sales representatives to employees. The security bonuses for those converted employees continue to vest, but their accounts are no longer credited with a percentage of net commissions. For financial reporting purposes, amounts are charged to operations over the vesting period. The security bonus plan is partially funded by an $8.7 million investment in the cash surrender value in life insurance of certain employees which is included as a component of Cash value of life insurance in the Consolidated Balance Sheets. As of December 31, 2025, the $7.4 million liability is primarily included in Other liabilities in the Consolidated Balance Sheets with the remaining portion included in Accrued expenses and other current liabilities in the Consolidated Balance Sheets.</w:t>
      </w:r>
    </w:p>
    <w:p>
      <w:pPr>
        <w:spacing w:after="0" w:line="21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Deferred Compensation </w:t>
      </w:r>
      <w:r>
        <w:rPr>
          <w:rFonts w:ascii="Times New Roman" w:cs="Times New Roman" w:eastAsia="Times New Roman" w:hAnsi="Times New Roman"/>
          <w:sz w:val="18"/>
          <w:szCs w:val="18"/>
          <w:color w:val="auto"/>
        </w:rPr>
        <w:t>— The Company’s Executive Deferral Plan (“Deferral Plan”) allows certain executives to defer payment of a portion of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earned compensation. The deferred compensation is recorded in an account balance, which is a bookkeeping entry made by the Company to measure the amount due to the participant. The account balance is equal to the participant’s deferred compensation, adjusted for increases and/or decreases in the amount that the participant has designated to one or more bookkeeping portfolios that track the performance of certain mutual funds. The Company adjusts the deferred compensation liability to equal the contractual value of the participants’ account balances. These adjustments are the changes in contractual value of the individual plans and are recorded as a component of Other income (expense) in the Consolidated Statements of Operations and Comprehensive Income (Loss).</w:t>
      </w:r>
    </w:p>
    <w:p>
      <w:pPr>
        <w:spacing w:after="0" w:line="21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 Compensation based on the share value of DSG common stock is valued at its fair value at the grant date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is recognized over the vesting period. Fair value is re-measured each reporting period for liability-classified awards that may be redeemable in cash. The Company accounts for forfeitures of stock-based compensation in the period in which they occur.</w:t>
      </w:r>
    </w:p>
    <w:p>
      <w:pPr>
        <w:spacing w:after="0" w:line="20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 The Company had $467.9 million of goodwill at December 31, 2025 and $462.8 million of goodwill at December 31, 2024. Goodwill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represents the cost of business acquisitions in excess of the fair value of identifiable net tangible and intangible assets acquired. The Company reviews goodwill for potential impairment annually on October 1st, or when an event or other circumstances change that would more likely than not reduce the fair value of the asset below its carrying value.</w:t>
      </w:r>
    </w:p>
    <w:p>
      <w:pPr>
        <w:spacing w:after="0" w:line="20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first step in the multi-step process to determine if goodwill has been impaired and to what degree is to review the relevant qualitative factors that could cause the fair value of the reporting unit to decrease below the carrying value of the reporting unit. The Company considers factors such as macroeconomic, industry and market conditions, cost factors, overall financial performance and other relevant factors that would affect the individual reporting units. If the Company determines that it is more likely than not that the fair value of the reporting unit is greater than the carrying value of the reporting unit, then no further impairment testing is needed. If the Company determines that it is more likely than not that the carrying value of the reporting unit is greater than the fair value of the reporting unit, the Company will move to the next step in the process. The Company will estimate the fair value of the reporting unit and compare it to the reporting unit’s carrying value. If the carrying value of the reporting unit exceeds its fair value, the Company will record an impairment of goodwill equal to the amount the carrying value of the reporting unit exceeds its fair value, up to the total amount of goodwill previously recognized.</w:t>
      </w:r>
    </w:p>
    <w:p>
      <w:pPr>
        <w:spacing w:after="0" w:line="21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Intangible Assets — </w:t>
      </w:r>
      <w:r>
        <w:rPr>
          <w:rFonts w:ascii="Times New Roman" w:cs="Times New Roman" w:eastAsia="Times New Roman" w:hAnsi="Times New Roman"/>
          <w:sz w:val="18"/>
          <w:szCs w:val="18"/>
          <w:color w:val="auto"/>
        </w:rPr>
        <w:t>The Company’s intangible assets primarily consist of trade names and customer relationships. Intangible assets are amortized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weighted average of 8 to 15 year and 9 to 20 year estimated useful lives for trade names and customer relationships, respectively. The Company amortizes trade name intangible assets on a straight-line basis and customer relationship intangible assets on a basis consistent with their estimated economic benefit.</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 </w:t>
      </w:r>
      <w:r>
        <w:rPr>
          <w:rFonts w:ascii="Times New Roman" w:cs="Times New Roman" w:eastAsia="Times New Roman" w:hAnsi="Times New Roman"/>
          <w:sz w:val="18"/>
          <w:szCs w:val="18"/>
          <w:color w:val="auto"/>
        </w:rPr>
        <w:t>The Company reviews its long-lived assets, including property, plant and equipment, right of use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definite life intangibles, for impairment whenever events or changes in circumstances indicate that the carrying amounts of these assets may not be recoverable. Recoverability is measured by a comparison of the assets carrying amount to their expected future undiscounted net cash flows. If such assets are considered to be impaired, the impairment to be recognized is measured based on the amount by which the carrying amount of the asset exceeds its fair value. No impairments occurred in 2025, 2024 or 2023.</w:t>
      </w:r>
    </w:p>
    <w:p>
      <w:pPr>
        <w:spacing w:after="0" w:line="21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Deferred tax assets or liabilities reflect temporary differences between amounts of assets and liabilities for financial and tax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amounts are adjusted, as appropriate, to reflect changes in enacted tax rates expected to be in effect when the temporary differences reverse. A valuation allowance is established to offset any deferred tax assets if, based upon the available evidence, it is more likely than not (i.e. greater than 50% likely) that some or all of the deferred tax assets will not be realized. The determination of the amount of a valuation allowance to be provided on recorded deferred tax assets involves estimates regarding (1) the timing and amount of the reversal of taxable temporary differences, (2) expected future taxable income, (3) the impact of tax planning strategies and (4) the ability to carry back deferred tax assets to offset prior taxable income. In assessing the need for a valuation allowance, the Company considers all available positive and negative evidence, including past operating results, projections of future taxable income and the feasibility of ongoing tax planning strategies. The projections of future taxable income include a number of estimates and assumptions regarding our volume, pricing and costs. Additionally, valuation allowances related to deferred tax assets can be impacted by changes to tax laws. Significant judgment is required in determining income tax provisions as well as deferred tax asset and liability balances, including the estimation of valuation allowances and the evaluation of uncertain tax positions.</w:t>
      </w:r>
    </w:p>
    <w:p>
      <w:pPr>
        <w:spacing w:after="0" w:line="2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Earnings from the Company’s foreign subsidiaries are considered to be indefinitely reinvested. A distribution of these non-U.S. earnings in the form of dividends or otherwise would subject the Company to foreign withholding taxes and may subject the Company to U.S. federal and state taxes.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the benefit of tax positions when a benefit is more likely than not (i.e., greater than 50% likely) to be sustained on its technical merits. Recognized tax benefits are measured at the largest amount that is more likely than not to be sustained, based on cumulative probability, in final settlement of the position. The Company recognizes interest and penalties related to unrecognized tax benefits as a component of Income tax expense (benefit) in the Consolidated Statements of Operations and Comprehensive Income (Loss).</w:t>
      </w:r>
    </w:p>
    <w:p>
      <w:pPr>
        <w:spacing w:after="0" w:line="20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 The Company determines if a contract contains a lease at inception. A contract contains a lease if it conveys the right to control the use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identified asset for a period of time in exchange for consideration. At the commencement date of a lease, the Company recognizes a liability to make lease payments and a right of use asset representing the right to use the underlying asset during the lease term. The Company includes options to extend or terminate a lease within the lease term when it is reasonably certain the option will be exercised. Leases are categorized as either operating or financing leases at commencement of the lease. Operating leases consist of office space, distribution and service centers, and branch locations. Financing leases primarily consist of equipment such as forklifts and copiers. The lease liability is measured at the present value of fixed lease payments over the lease term. The lease liability includes payments allocated to lease components, while payments allocated to non-lease components are expensed as incurred for all asset classes. The Company uses its incremental borrowing rate to discount the total cash payments to present value for each lease. The Company reviews each lease to determine if there is a more appropriate discount rate to apply. The initial measurement of the right of use asset includes the initial measurement of the lease liability, fixed lease payments made in advance of the lease commencement date and initial direct costs incurred by the Company and excludes lease incentives. Variable lease payments, such as payments based on an index rate or usage, are expensed as incurred and excluded from lease liabilities and right of use assets. Upon commencement of the lease, rent expense is recognized on a straight-line basis for each operating lease. Each financing lease right of use asset is amortized on a straight-line basis over the lease period. The Company has elected the practical expedient to exclude any short-term lease, defined as a lease with an initial term of 12 months or less, from the provisions of ASC 842. The short-term leases are not recorded in the consolidated balance sheets. The lease expense for short-term leases is recognized on a straight-line basis over the lease term.</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Lawson and TestEquity segments operate as a lessor and rent certain equipment to customers through leases classified as operating leases. The leased equipment is recognized in Rental equipment, net in the Consolidated Balance Sheets and the leasing revenue is recognized on a straight-line basis.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Earnings per Share </w:t>
      </w:r>
      <w:r>
        <w:rPr>
          <w:rFonts w:ascii="Times New Roman" w:cs="Times New Roman" w:eastAsia="Times New Roman" w:hAnsi="Times New Roman"/>
          <w:sz w:val="18"/>
          <w:szCs w:val="18"/>
          <w:color w:val="auto"/>
        </w:rPr>
        <w:t>— Basic earnings per share (“EPS”) is computed by dividing net income by the weighted-average number of common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during the period. Diluted earnings per share is computed using the weighted-average number of shares of common stock and, if dilutive, common stock equivalents outstanding during the period. Diluted earnings per share reflect the potential dilution from the exercise or conversion of outstanding performance awards, stock options, market stock units and restricted stock units into common stock. The dilutive effect of these common stock equivalents is reflected in diluted earnings per share by application of the treasury stock method. Contingently issuable shares are considered outstanding common shares and included in basic EPS as of the date that all necessary conditions have been satisfied (i.e., when issuance of the shares is no longer contingent). For diluted EPS, the contingently issuable shares should be included in the denominator of the diluted EPS calculation as of the beginning of the interim period in which the conditions are satisfied and the earnout arrangements have been resolved.</w:t>
      </w:r>
    </w:p>
    <w:p>
      <w:pPr>
        <w:spacing w:after="0" w:line="212"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(“ASC 260”), the historical EPS was retrospectively adjusted to reflect the impact of the two-for-one stock split that occurred during 2023.</w:t>
      </w:r>
    </w:p>
    <w:p>
      <w:pPr>
        <w:spacing w:after="0" w:line="18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Foreign Currency </w:t>
      </w:r>
      <w:r>
        <w:rPr>
          <w:rFonts w:ascii="Times New Roman" w:cs="Times New Roman" w:eastAsia="Times New Roman" w:hAnsi="Times New Roman"/>
          <w:sz w:val="18"/>
          <w:szCs w:val="18"/>
          <w:color w:val="auto"/>
        </w:rPr>
        <w:t>— The accounts of foreign subsidiaries are measured using the local currency as the functional currency. All balance sheet amounts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translated into U.S. dollars using the exchange rates in effect at the applicable period end. Components of income or loss are translated using the average exchange rate for each reporting period.</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Gains and losses resulting from changes in the exchange rates from translation of the subsidiary accounts in local currency to U.S. dollars are reported as a component of Accumulated other comprehensive income or loss in the Consolidated Balance Sheets. Gains and losses resulting from the effect of exchange rate changes on transactions denominated in currencies other than the functional currency are included as a component of net income or loss upon settlement of the transaction.</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Gains and losses resulting from foreign intercompany transactions are included as a component of net income or loss each reporting period unless the transactions are of a long-term-investment nature and settlement is not planned or anticipated in the foreseeable future, in which case the gains and losses are recorded as a component of Accumulated other comprehensive income or loss in the Consolidated Balance Sheets. Foreign currency transaction losses of $3.0 million, $0.4 million and $1.5 million were recorded for 2025, 2024 and 2023, respectively, as a component of Other income (expense) in the Consolidated Statements of Operations and Comprehensive Income (Loss).</w:t>
      </w:r>
    </w:p>
    <w:p>
      <w:pPr>
        <w:spacing w:after="0" w:line="2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Treasury Stock </w:t>
      </w:r>
      <w:r>
        <w:rPr>
          <w:rFonts w:ascii="Times New Roman" w:cs="Times New Roman" w:eastAsia="Times New Roman" w:hAnsi="Times New Roman"/>
          <w:sz w:val="18"/>
          <w:szCs w:val="18"/>
          <w:color w:val="auto"/>
        </w:rPr>
        <w:t>— The Company accounts for treasury stock using the cost method and includes treasury stock as a component of stockholders’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cost of the common stock repurchased and held in treasury during 2025, 2024 and 2023 was $24.4 million, $3.2 million and $3.9 million, respectively. The Company records the repurchase of shares of its common stock at cost on the settlement date of the transaction. In accordance with the Inflation Reduction Act, as amended, the Company is subject to a 1% excise tax on the net repurchase of its stock, which is recorded as a direct cost of the transaction in the period of repurchase within treasury stock.</w:t>
      </w:r>
    </w:p>
    <w:p>
      <w:pPr>
        <w:spacing w:after="0" w:line="21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Segment Information </w:t>
      </w:r>
      <w:r>
        <w:rPr>
          <w:rFonts w:ascii="Times New Roman" w:cs="Times New Roman" w:eastAsia="Times New Roman" w:hAnsi="Times New Roman"/>
          <w:sz w:val="18"/>
          <w:szCs w:val="18"/>
          <w:color w:val="auto"/>
        </w:rPr>
        <w:t>— ASC 280,</w:t>
      </w:r>
      <w:r>
        <w:rPr>
          <w:rFonts w:ascii="Times New Roman" w:cs="Times New Roman" w:eastAsia="Times New Roman" w:hAnsi="Times New Roman"/>
          <w:sz w:val="18"/>
          <w:szCs w:val="18"/>
          <w:i w:val="1"/>
          <w:iCs w:val="1"/>
          <w:color w:val="auto"/>
        </w:rPr>
        <w:t xml:space="preserve"> Segment Reporting</w:t>
      </w:r>
      <w:r>
        <w:rPr>
          <w:rFonts w:ascii="Times New Roman" w:cs="Times New Roman" w:eastAsia="Times New Roman" w:hAnsi="Times New Roman"/>
          <w:sz w:val="18"/>
          <w:szCs w:val="18"/>
          <w:color w:val="auto"/>
        </w:rPr>
        <w:t>, establishes standards for reporting information about operating segments. Operating segments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defined as components of an enterprise about which separate financial information is available that is evaluated regularly by the chief operating decision maker, or decision-making group, in deciding how to allocate resources and in assessing performance. The Company’s chief operating decision-maker (“CODM”) is the Chief Executive Officer of DSG. For each reportable segment, the CODM uses segment operating income (loss) to evaluate financial performance and allocate resources (including employees and financial resources) in a way to manage and grow margins.</w:t>
      </w:r>
    </w:p>
    <w:p>
      <w:pPr>
        <w:spacing w:after="0" w:line="21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has determined it has five operating segments: (i) Lawson, (ii) Gexpro Services, (iii) TestEquity, (iv) Canada Branch Division and (v) All Other. The Company’s four reportable segments are (i) Lawson, (ii) Gexpro Services, (iii) TestEquity and (iv) Canada Branch Division.</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reporting segments follow the same accounting policies used in the preparation of the Company’s consolidated financial statements. See Note 14 – Segment Information for further details.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 When applicable, the Company accounts for the acquisition of a business in accordance with the guidance in ASC 805.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recognizes identifiable assets acquired and liabilities assumed at their acquisition date fair values. Goodwill as of the acquisition date is measured as the excess of consideration transferred over the net of the acquisition date fair values of the assets acquired and the liabilities assumed. While the Company uses its best estimates and</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assumptions for the purchase price allocation process to value assets acquired and liabilities assumed at the acquisition date, the estimates are inherently uncertain and subject to refinement. As a result, during the measurement period, which may be up to one year from the acquisition date, the Company may record adjustments to the assets acquired and liabilities assumed, with the corresponding offset to goodwill.</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When an acquisition does not meet the definition of a business combination, the Company accounts for the acquisition as an asset acquisition. In an asset acquisition, goodwill is not recognized, but rather, any difference in purchase consideration compared to the fair value of the net assets acquired is allocated on a relative fair value basis to the identifiable net assets as of the acquisition date and any direct acquisition-related transaction costs are capitalized as part of the purchase consideration.</w:t>
      </w:r>
    </w:p>
    <w:p>
      <w:pPr>
        <w:spacing w:after="0" w:line="20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Fair Value Measurements </w:t>
      </w:r>
      <w:r>
        <w:rPr>
          <w:rFonts w:ascii="Times New Roman" w:cs="Times New Roman" w:eastAsia="Times New Roman" w:hAnsi="Times New Roman"/>
          <w:sz w:val="18"/>
          <w:szCs w:val="18"/>
          <w:color w:val="auto"/>
        </w:rPr>
        <w:t>— The Company applies the guidance in ASC 820,</w:t>
      </w:r>
      <w:r>
        <w:rPr>
          <w:rFonts w:ascii="Times New Roman" w:cs="Times New Roman" w:eastAsia="Times New Roman" w:hAnsi="Times New Roman"/>
          <w:sz w:val="18"/>
          <w:szCs w:val="18"/>
          <w:i w:val="1"/>
          <w:iCs w:val="1"/>
          <w:color w:val="auto"/>
        </w:rPr>
        <w:t xml:space="preserve"> Fair Value Measurements </w:t>
      </w:r>
      <w:r>
        <w:rPr>
          <w:rFonts w:ascii="Times New Roman" w:cs="Times New Roman" w:eastAsia="Times New Roman" w:hAnsi="Times New Roman"/>
          <w:sz w:val="18"/>
          <w:szCs w:val="18"/>
          <w:color w:val="auto"/>
        </w:rPr>
        <w:t>to account for financial assets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measured on a recurring basis. ASC 820 defines fair value as the price that would be received to sell an asset or paid to transfer a liability in an orderly transaction between market participants at the measurement date. The guidance provides a fair value hierarchy that prioritizes the inputs to valuation techniques used to measure fair value. The three levels of the fair value hierarchy are described below:</w:t>
      </w:r>
    </w:p>
    <w:p>
      <w:pPr>
        <w:spacing w:after="0" w:line="2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 Unadjusted quoted prices for identical assets and liabilities in active markets.</w:t>
      </w:r>
    </w:p>
    <w:p>
      <w:pPr>
        <w:spacing w:after="0" w:line="11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68"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may be derived from internally developed methodologies based on management’s best estimate of fair value and that are significant to the fair value of the asset or liability.</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carrying amount of accounts receivable, accounts payable, accrued expenses and other working capital balances are considered a reasonable estimate of their fair value due to the short-term maturity of these instruments. The carrying amount of debt is also considered to be a reasonable estimate of the fair value based on the nature of the debt and that the debt bears interest at the prevailing market rate for instruments with similar characteristics.</w:t>
      </w:r>
    </w:p>
    <w:p>
      <w:pPr>
        <w:spacing w:after="0" w:line="201"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 Preparation of financial statements in conformity with accounting principles generally accepted in the United States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to make estimates and assumptions that affect the amounts reported for service revenue, service cost, allowance for credit losses, inventory write-offs, initial and on-going goodwill and intangible asset valuations, stock-based compensation and income taxes in the consolidated financial statements and accompanying notes. Actual results could differ from these estimates.</w:t>
      </w:r>
    </w:p>
    <w:p>
      <w:pPr>
        <w:spacing w:after="0" w:line="20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Reclassifications </w:t>
      </w:r>
      <w:r>
        <w:rPr>
          <w:rFonts w:ascii="Times New Roman" w:cs="Times New Roman" w:eastAsia="Times New Roman" w:hAnsi="Times New Roman"/>
          <w:sz w:val="18"/>
          <w:szCs w:val="18"/>
          <w:color w:val="auto"/>
        </w:rPr>
        <w:t>— Certain prior period amounts have been reclassified to conform to the current period presentation, primarily relating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disaggregation of intangible assets on the consolidated balance sheet. These reclassifications did not result in any changes to previously reported total assets, stockholder’s equity, or net income.</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Recent Accounting Pronouncements - Adopted</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From time to time, the Financial Accounting Standards Board (the “FASB”) or other standards setting bodies issue new accounting pronouncements. The FASB issues updates to new accounting pronouncements through the issuance of an Accounting Standards Update (“ASU”). The Company does not discuss recent pronouncements that are not anticipated to have an impact on, or are unrelated to, its consolidated financial condition, results of operations, cash flows or disclosures.</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to require greater disaggregation of income tax disclosures related to the income tax rate reconciliation and income taxes paid. The pronouncement is effective on a prospective basis with retrospective application permitted for annual periods beginning after December 15, 2024, with early adoption permitted. The adoption of ASU 2023-09 has been applied on a prospective basis to the current annual period. Prior period disclosures have not been adjusted to reflect the new disclosure requirements. The Company adopted this guidance on January 1, 2025. The adoption had no material impact on the Company’s financial condition, results of operations or cash flows.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Recent Accounting Pronouncements - Not Yet Adopted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(Topic 220): Reporting Comprehensive Income, which requires disclosure of disaggregated information about certain income statement expense line items within the notes to the consolidated financial statements. The FASB further clarified the effective date in January 2025 with the issuance of ASU 2025-01, Income Statement - Reporting Comprehensive Income - Expense Disaggregation Disclosures (Subtopic 220-40): Clarifying the Effective Date. The pronouncement is effective for annual reporting periods beginning after December 15, 2026 and interim reporting periods beginning after December 15, 2027, with early adoption permitted. The Company is currently evaluating the impact of the adoption on its financial statement disclosures.</w:t>
      </w:r>
    </w:p>
    <w:p>
      <w:pPr>
        <w:spacing w:after="0" w:line="21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Instruments-Credit Losses (Topic 326): Measurement of Credit Losses for Accounts Receivable and Contract Assets, which provides all entities with a practical expedient to assume that current conditions as of the balance sheet date do not change for the remaining life of the assets. The pronouncement is effective on a prospective basis for interim and annual reporting periods beginning after December 15, 2025, with early adoption permitted. The Company is currently evaluating the impact of the adoption on its financial statement disclosures.</w:t>
      </w:r>
    </w:p>
    <w:p>
      <w:pPr>
        <w:spacing w:after="0" w:line="207"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7"/>
          <w:szCs w:val="17"/>
          <w:color w:val="auto"/>
        </w:rPr>
        <w:t>In September 2025, the FASB issued ASU 2025-06, Intangibles-Goodwill and Other-Internal-Use Software (Subtopic 350-40): Targeted Improvements to the Accounting for Internal-Use Software, which modernizes the accounting for internal-use software costs by removing all references to prescriptive and sequential software development stages. The new standard requires entities to consider whether significant development uncertainty has been resolved before starting to capitalize software costs and aligns disclosure requirements with ASC 360, Property, Plant, and Equipment. The pronouncement is effective for interim and annual reporting periods beginning after December 15, 2027, and can be applied prospectively, retrospectively, or using a modified transition method, with early adoption permitted. The Company is currently evaluating the impact of the adoption on its financial statement disclosures.</w:t>
      </w:r>
    </w:p>
    <w:p>
      <w:pPr>
        <w:spacing w:after="0" w:line="20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which is intended to improve the navigability of the guidance in ASC 270, Interim Reporting, and clarify when it applies. Under the amendments, an entity is subject to ASC 270 if it provides interim financial statements and notes in accordance with GAAP. ASU 2025-11 also addresses the form and content of such financial statements, interim disclosures requirements, and establishes a principle under which an entity must disclose events since the end of the last annual reporting period that have a material impact on the entity. The pronouncement is effective for interim reporting periods within annual reporting periods beginning after December 15, 2027, and can be applied prospectively or retrospectively, with early adoption permitted. The Company is currently evaluating the impact of the adoption on its financial statement disclosures.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Business and Asset Acquisitions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DSG and its operating companies acquired businesses during 2024 and 2023. The acquisitions were accounted for under ASC 805, the acquisition method of accounting. For each acquisition, the allocation of consideration exchanged to the assets acquired and liabilities assumed was based on estimated acquisition-date fair values. The final valuations were completed within the one-year measurement period following the respective acquisition date, and any adjustments were recorded in the period in which the adjustments were determined.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Acquisitions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ConRes Test Equipment</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November 18, 2024, DSG acquired the assets of ConRes Test Equipment, (“ConRes TE” and the “ConRes TE Transaction”), for a purchase price of approximately $17.0 million. These assets were acquired to expand TestEquity’s test equipment offerings and value-add service capabilities in all of our end markets. The results of operations from the assets acquired from ConRes TE are included within the TestEquity reportable segment. The acquisition was funded using DSG’s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cash on hand and its revolving credit facility. This acquisition was accounted for as an asset acquisition because substantially all of the fair value of the acquired assets were concentrated in property, plant and equipment.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allocation of consideration exchanged to the estimated fair values of assets acquired and liabilities assumed: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ConRes TE</w:t>
            </w:r>
          </w:p>
        </w:tc>
        <w:tc>
          <w:tcPr>
            <w:tcW w:w="0" w:type="dxa"/>
            <w:vAlign w:val="bottom"/>
          </w:tcPr>
          <w:p>
            <w:pPr>
              <w:spacing w:after="0"/>
              <w:rPr>
                <w:sz w:val="1"/>
                <w:szCs w:val="1"/>
                <w:color w:val="auto"/>
              </w:rPr>
            </w:pPr>
          </w:p>
        </w:tc>
      </w:tr>
      <w:tr>
        <w:trPr>
          <w:trHeight w:val="169"/>
        </w:trPr>
        <w:tc>
          <w:tcPr>
            <w:tcW w:w="9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tcPr>
          <w:p>
            <w:pPr>
              <w:jc w:val="center"/>
              <w:ind w:right="150"/>
              <w:spacing w:after="0" w:line="169" w:lineRule="exact"/>
              <w:rPr>
                <w:sz w:val="20"/>
                <w:szCs w:val="20"/>
                <w:color w:val="auto"/>
              </w:rPr>
            </w:pPr>
            <w:r>
              <w:rPr>
                <w:rFonts w:ascii="Times New Roman" w:cs="Times New Roman" w:eastAsia="Times New Roman" w:hAnsi="Times New Roman"/>
                <w:sz w:val="18"/>
                <w:szCs w:val="18"/>
                <w:color w:val="auto"/>
              </w:rPr>
              <w:t>November 18, 2024</w:t>
            </w:r>
          </w:p>
        </w:tc>
        <w:tc>
          <w:tcPr>
            <w:tcW w:w="0" w:type="dxa"/>
            <w:vAlign w:val="bottom"/>
          </w:tcPr>
          <w:p>
            <w:pPr>
              <w:spacing w:after="0"/>
              <w:rPr>
                <w:sz w:val="1"/>
                <w:szCs w:val="1"/>
                <w:color w:val="auto"/>
              </w:rPr>
            </w:pPr>
          </w:p>
        </w:tc>
      </w:tr>
      <w:tr>
        <w:trPr>
          <w:trHeight w:val="240"/>
        </w:trPr>
        <w:tc>
          <w:tcPr>
            <w:tcW w:w="9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Acquisition Date</w:t>
            </w:r>
          </w:p>
        </w:tc>
        <w:tc>
          <w:tcPr>
            <w:tcW w:w="0" w:type="dxa"/>
            <w:vAlign w:val="bottom"/>
          </w:tcPr>
          <w:p>
            <w:pPr>
              <w:spacing w:after="0"/>
              <w:rPr>
                <w:sz w:val="1"/>
                <w:szCs w:val="1"/>
                <w:color w:val="auto"/>
              </w:rPr>
            </w:pPr>
          </w:p>
        </w:tc>
      </w:tr>
      <w:tr>
        <w:trPr>
          <w:trHeight w:val="226"/>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29"/>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16,211</w:t>
            </w:r>
          </w:p>
        </w:tc>
        <w:tc>
          <w:tcPr>
            <w:tcW w:w="0" w:type="dxa"/>
            <w:vAlign w:val="bottom"/>
          </w:tcPr>
          <w:p>
            <w:pPr>
              <w:spacing w:after="0"/>
              <w:rPr>
                <w:sz w:val="1"/>
                <w:szCs w:val="1"/>
                <w:color w:val="auto"/>
              </w:rPr>
            </w:pPr>
          </w:p>
        </w:tc>
      </w:tr>
      <w:tr>
        <w:trPr>
          <w:trHeight w:val="230"/>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29"/>
        </w:trPr>
        <w:tc>
          <w:tcPr>
            <w:tcW w:w="9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48"/>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 exchanged, net of cash acquired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0" w:type="dxa"/>
            <w:vAlign w:val="bottom"/>
          </w:tcPr>
          <w:p>
            <w:pPr>
              <w:spacing w:after="0"/>
              <w:rPr>
                <w:sz w:val="1"/>
                <w:szCs w:val="1"/>
                <w:color w:val="auto"/>
              </w:rPr>
            </w:pPr>
          </w:p>
        </w:tc>
      </w:tr>
      <w:tr>
        <w:trPr>
          <w:trHeight w:val="20"/>
        </w:trPr>
        <w:tc>
          <w:tcPr>
            <w:tcW w:w="908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Cash consideration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080" w:type="dxa"/>
            <w:vAlign w:val="bottom"/>
            <w:vMerge w:val="continue"/>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15,725</w:t>
            </w:r>
          </w:p>
        </w:tc>
        <w:tc>
          <w:tcPr>
            <w:tcW w:w="0" w:type="dxa"/>
            <w:vAlign w:val="bottom"/>
          </w:tcPr>
          <w:p>
            <w:pPr>
              <w:spacing w:after="0"/>
              <w:rPr>
                <w:sz w:val="1"/>
                <w:szCs w:val="1"/>
                <w:color w:val="auto"/>
              </w:rPr>
            </w:pPr>
          </w:p>
        </w:tc>
      </w:tr>
      <w:tr>
        <w:trPr>
          <w:trHeight w:val="229"/>
        </w:trPr>
        <w:tc>
          <w:tcPr>
            <w:tcW w:w="90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Deferred consideration</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r>
        <w:trPr>
          <w:trHeight w:val="22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 exchanged, net of cash acquired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0" w:type="dxa"/>
            <w:vAlign w:val="bottom"/>
          </w:tcPr>
          <w:p>
            <w:pPr>
              <w:spacing w:after="0"/>
              <w:rPr>
                <w:sz w:val="1"/>
                <w:szCs w:val="1"/>
                <w:color w:val="auto"/>
              </w:rPr>
            </w:pPr>
          </w:p>
        </w:tc>
      </w:tr>
      <w:tr>
        <w:trPr>
          <w:trHeight w:val="20"/>
        </w:trPr>
        <w:tc>
          <w:tcPr>
            <w:tcW w:w="9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560" w:hanging="228"/>
        <w:spacing w:after="0"/>
        <w:tabs>
          <w:tab w:leader="none" w:pos="56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paid $0.0 million of the ConRes TE deferred consideration during the years ended December 31, 2025 and 2024.</w:t>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Tech-Component Resources Pte Ltd</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30, 2024, DSG acquired all of the issued and outstanding capital stock of Tech-Component Resources Pte LTD (“TCR” and the “TCR Transaction”) for a purchase price of approximately $5.9 million, net of cash acquired of $1.9 million. TCR is a distributor of fasteners, mechanical components, and other industrial products in Southeast Asia. TCR was acquired to provide us with a strategic foothold in this growing region. The results of operations of TCR are included within</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Gexpro Services reportable segment. The acquisition was funded using DSG’s cash on hand and its revolving credit facility.</w:t>
      </w:r>
    </w:p>
    <w:p>
      <w:pPr>
        <w:spacing w:after="0" w:line="25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allocation of consideration exchanged to the estimated fair values of assets acquired and liabilities assumed, including the allocation to other intangible assets acquired:</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4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6"/>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w w:val="99"/>
              </w:rPr>
              <w:t>Tech-Component Resources Pte Ltd</w:t>
            </w:r>
          </w:p>
        </w:tc>
        <w:tc>
          <w:tcPr>
            <w:tcW w:w="1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gridSpan w:val="2"/>
          </w:tcPr>
          <w:p>
            <w:pPr>
              <w:ind w:left="120"/>
              <w:spacing w:after="0" w:line="169" w:lineRule="exact"/>
              <w:rPr>
                <w:sz w:val="20"/>
                <w:szCs w:val="20"/>
                <w:color w:val="auto"/>
              </w:rPr>
            </w:pPr>
            <w:r>
              <w:rPr>
                <w:rFonts w:ascii="Times New Roman" w:cs="Times New Roman" w:eastAsia="Times New Roman" w:hAnsi="Times New Roman"/>
                <w:sz w:val="18"/>
                <w:szCs w:val="18"/>
                <w:color w:val="auto"/>
              </w:rPr>
              <w:t>October 30, 2024</w:t>
            </w:r>
          </w:p>
        </w:tc>
        <w:tc>
          <w:tcPr>
            <w:tcW w:w="180" w:type="dxa"/>
            <w:vAlign w:val="bottom"/>
          </w:tcPr>
          <w:p>
            <w:pPr>
              <w:spacing w:after="0"/>
              <w:rPr>
                <w:sz w:val="14"/>
                <w:szCs w:val="14"/>
                <w:color w:val="auto"/>
              </w:rPr>
            </w:pPr>
          </w:p>
        </w:tc>
        <w:tc>
          <w:tcPr>
            <w:tcW w:w="192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color w:val="auto"/>
              </w:rPr>
              <w:t>Measurement Period</w:t>
            </w:r>
          </w:p>
        </w:tc>
        <w:tc>
          <w:tcPr>
            <w:tcW w:w="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40" w:type="dxa"/>
            <w:vAlign w:val="bottom"/>
          </w:tcPr>
          <w:p>
            <w:pPr>
              <w:spacing w:after="0"/>
              <w:rPr>
                <w:sz w:val="21"/>
                <w:szCs w:val="21"/>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Acquisition Date</w:t>
            </w:r>
          </w:p>
        </w:tc>
        <w:tc>
          <w:tcPr>
            <w:tcW w:w="180" w:type="dxa"/>
            <w:vAlign w:val="bottom"/>
          </w:tcPr>
          <w:p>
            <w:pPr>
              <w:spacing w:after="0"/>
              <w:rPr>
                <w:sz w:val="21"/>
                <w:szCs w:val="21"/>
                <w:color w:val="auto"/>
              </w:rPr>
            </w:pP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Adjustments</w:t>
            </w:r>
          </w:p>
        </w:tc>
        <w:tc>
          <w:tcPr>
            <w:tcW w:w="380" w:type="dxa"/>
            <w:vAlign w:val="bottom"/>
          </w:tcPr>
          <w:p>
            <w:pPr>
              <w:spacing w:after="0"/>
              <w:rPr>
                <w:sz w:val="21"/>
                <w:szCs w:val="21"/>
                <w:color w:val="auto"/>
              </w:rPr>
            </w:pPr>
          </w:p>
        </w:tc>
        <w:tc>
          <w:tcPr>
            <w:tcW w:w="1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Adjusted Total</w:t>
            </w:r>
          </w:p>
        </w:tc>
        <w:tc>
          <w:tcPr>
            <w:tcW w:w="0" w:type="dxa"/>
            <w:vAlign w:val="bottom"/>
          </w:tcPr>
          <w:p>
            <w:pPr>
              <w:spacing w:after="0"/>
              <w:rPr>
                <w:sz w:val="1"/>
                <w:szCs w:val="1"/>
                <w:color w:val="auto"/>
              </w:rPr>
            </w:pPr>
          </w:p>
        </w:tc>
      </w:tr>
      <w:tr>
        <w:trPr>
          <w:trHeight w:val="223"/>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0" w:type="dxa"/>
            <w:vAlign w:val="bottom"/>
          </w:tcPr>
          <w:p>
            <w:pPr>
              <w:spacing w:after="0"/>
              <w:rPr>
                <w:sz w:val="1"/>
                <w:szCs w:val="1"/>
                <w:color w:val="auto"/>
              </w:rPr>
            </w:pPr>
          </w:p>
        </w:tc>
      </w:tr>
      <w:tr>
        <w:trPr>
          <w:trHeight w:val="229"/>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Trade names</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 net of deferred tax asset</w:t>
            </w: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0" w:type="dxa"/>
            <w:vAlign w:val="bottom"/>
          </w:tcPr>
          <w:p>
            <w:pPr>
              <w:spacing w:after="0"/>
              <w:rPr>
                <w:sz w:val="1"/>
                <w:szCs w:val="1"/>
                <w:color w:val="auto"/>
              </w:rPr>
            </w:pPr>
          </w:p>
        </w:tc>
      </w:tr>
      <w:tr>
        <w:trPr>
          <w:trHeight w:val="156"/>
        </w:trPr>
        <w:tc>
          <w:tcPr>
            <w:tcW w:w="46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Total purchase consideration exchanged, net of cash</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5,880</w:t>
            </w:r>
          </w:p>
        </w:tc>
        <w:tc>
          <w:tcPr>
            <w:tcW w:w="8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3"/>
                <w:szCs w:val="13"/>
                <w:color w:val="auto"/>
              </w:rPr>
            </w:pP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0" w:type="dxa"/>
            <w:vAlign w:val="bottom"/>
          </w:tcPr>
          <w:p>
            <w:pPr>
              <w:spacing w:after="0"/>
              <w:rPr>
                <w:sz w:val="1"/>
                <w:szCs w:val="1"/>
                <w:color w:val="auto"/>
              </w:rPr>
            </w:pPr>
          </w:p>
        </w:tc>
      </w:tr>
      <w:tr>
        <w:trPr>
          <w:trHeight w:val="221"/>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acquired</w:t>
            </w:r>
          </w:p>
        </w:tc>
        <w:tc>
          <w:tcPr>
            <w:tcW w:w="240" w:type="dxa"/>
            <w:vAlign w:val="bottom"/>
            <w:tcBorders>
              <w:bottom w:val="single" w:sz="8" w:color="auto"/>
            </w:tcBorders>
            <w:vMerge w:val="continue"/>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8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consideration</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0" w:type="dxa"/>
            <w:vAlign w:val="bottom"/>
          </w:tcPr>
          <w:p>
            <w:pPr>
              <w:spacing w:after="0"/>
              <w:rPr>
                <w:sz w:val="1"/>
                <w:szCs w:val="1"/>
                <w:color w:val="auto"/>
              </w:rPr>
            </w:pPr>
          </w:p>
        </w:tc>
      </w:tr>
      <w:tr>
        <w:trPr>
          <w:trHeight w:val="230"/>
        </w:trPr>
        <w:tc>
          <w:tcPr>
            <w:tcW w:w="464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Deferred consideration</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0" w:type="dxa"/>
            <w:vAlign w:val="bottom"/>
          </w:tcPr>
          <w:p>
            <w:pPr>
              <w:spacing w:after="0"/>
              <w:rPr>
                <w:sz w:val="1"/>
                <w:szCs w:val="1"/>
                <w:color w:val="auto"/>
              </w:rPr>
            </w:pPr>
          </w:p>
        </w:tc>
      </w:tr>
      <w:tr>
        <w:trPr>
          <w:trHeight w:val="155"/>
        </w:trPr>
        <w:tc>
          <w:tcPr>
            <w:tcW w:w="464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Total purchase consideration exchanged, net of cash</w:t>
            </w:r>
          </w:p>
        </w:tc>
        <w:tc>
          <w:tcPr>
            <w:tcW w:w="240" w:type="dxa"/>
            <w:vAlign w:val="bottom"/>
            <w:tcBorders>
              <w:top w:val="single" w:sz="8" w:color="auto"/>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0" w:type="dxa"/>
            <w:vAlign w:val="bottom"/>
          </w:tcPr>
          <w:p>
            <w:pPr>
              <w:spacing w:after="0"/>
              <w:rPr>
                <w:sz w:val="1"/>
                <w:szCs w:val="1"/>
                <w:color w:val="auto"/>
              </w:rPr>
            </w:pPr>
          </w:p>
        </w:tc>
      </w:tr>
      <w:tr>
        <w:trPr>
          <w:trHeight w:val="236"/>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acquired</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7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8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6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560" w:hanging="228"/>
        <w:spacing w:after="0"/>
        <w:tabs>
          <w:tab w:leader="none" w:pos="56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The Company paid </w:t>
      </w:r>
      <w:r>
        <w:rPr>
          <w:rFonts w:ascii="Times New Roman" w:cs="Times New Roman" w:eastAsia="Times New Roman" w:hAnsi="Times New Roman"/>
          <w:sz w:val="17"/>
          <w:szCs w:val="17"/>
          <w:color w:val="auto"/>
        </w:rPr>
        <w:t>$0.0 million</w:t>
      </w:r>
      <w:r>
        <w:rPr>
          <w:rFonts w:ascii="Times New Roman" w:cs="Times New Roman" w:eastAsia="Times New Roman" w:hAnsi="Times New Roman"/>
          <w:sz w:val="16"/>
          <w:szCs w:val="16"/>
          <w:color w:val="auto"/>
        </w:rPr>
        <w:t xml:space="preserve"> of the TCR deferred consideration during the years ended December 31, 2025 and 2024.</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Following the initial fair value measurement, the Company updated the purchase price allocation for TCR primarily related to the ongoing review of the opening balance sheet and revised certain assumptions used in estimating the fair value. The adjustments resulted in a $0.2 million increase to goodwill. Total purchase consideration, net of cash acquired increased due to working capital and other adjustments in accordance with the purchase agreement of $0.1 million. The accounting for the TCR Transaction was completed during the third quarter of 2025.</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customer relationships and trade names intangible assets have estimated useful lives of ten years. Goodwill generated from the TCR Transaction is not deductible for tax purposes and is primarily attributable to the benefits we expect to derive from expected synergies, including expanded product and service offerings and cross-selling opportunities.</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Source Atlantic</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August 14, 2024, DSG acquired all of the issued and outstanding capital stock of Source Atlantic Limited (“Source Atlantic” and the “Source Atlantic Transaction”) for a purchase price of approximately $103.5 million, net of cash acquired of $4.4 million. Source Atlantic, headquartered in Saint John, New Brunswick, Canada, is a wholesale distributor of industrial MRO supplies, safety products, fasteners, and related value-add services for the Canadian MRO market. Source Atlantic has 21 branch locations across Canada with a heavy focus in Eastern Canada. Source Atlantic was acquired to expand DSG’s operating footprint in the Canadian market. The results of operations of Source Atlantic are included within the Canada Branch Division reportable segment. The acquisition was funded with borrowings under the Company’s Original Credit Agreement. Refer to Note 9 – Debt for information about the Original Credit Agreement.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8"/>
          <w:szCs w:val="18"/>
          <w:color w:val="auto"/>
        </w:rPr>
        <w:t>The following table summarizes the allocation of consideration exchanged to the estimated fair values of assets acquired and liabilities assumed, including the allocation to other intangible assets acquired: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Source Atlantic</w:t>
            </w: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r>
      <w:tr>
        <w:trPr>
          <w:trHeight w:val="169"/>
        </w:trPr>
        <w:tc>
          <w:tcPr>
            <w:tcW w:w="5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2"/>
          </w:tcPr>
          <w:p>
            <w:pPr>
              <w:ind w:left="160"/>
              <w:spacing w:after="0" w:line="169" w:lineRule="exact"/>
              <w:rPr>
                <w:sz w:val="20"/>
                <w:szCs w:val="20"/>
                <w:color w:val="auto"/>
              </w:rPr>
            </w:pPr>
            <w:r>
              <w:rPr>
                <w:rFonts w:ascii="Times New Roman" w:cs="Times New Roman" w:eastAsia="Times New Roman" w:hAnsi="Times New Roman"/>
                <w:sz w:val="18"/>
                <w:szCs w:val="18"/>
                <w:color w:val="auto"/>
              </w:rPr>
              <w:t>August 14, 2024</w:t>
            </w:r>
          </w:p>
        </w:tc>
        <w:tc>
          <w:tcPr>
            <w:tcW w:w="120" w:type="dxa"/>
            <w:vAlign w:val="bottom"/>
          </w:tcPr>
          <w:p>
            <w:pPr>
              <w:spacing w:after="0"/>
              <w:rPr>
                <w:sz w:val="14"/>
                <w:szCs w:val="14"/>
                <w:color w:val="auto"/>
              </w:rPr>
            </w:pPr>
          </w:p>
        </w:tc>
        <w:tc>
          <w:tcPr>
            <w:tcW w:w="172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color w:val="auto"/>
              </w:rPr>
              <w:t>Measurement Period</w:t>
            </w: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60" w:type="dxa"/>
            <w:vAlign w:val="bottom"/>
          </w:tcPr>
          <w:p>
            <w:pPr>
              <w:spacing w:after="0"/>
              <w:rPr>
                <w:sz w:val="21"/>
                <w:szCs w:val="21"/>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Acquisition Date</w:t>
            </w:r>
          </w:p>
        </w:tc>
        <w:tc>
          <w:tcPr>
            <w:tcW w:w="120" w:type="dxa"/>
            <w:vAlign w:val="bottom"/>
          </w:tcPr>
          <w:p>
            <w:pPr>
              <w:spacing w:after="0"/>
              <w:rPr>
                <w:sz w:val="21"/>
                <w:szCs w:val="21"/>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Adjustments</w:t>
            </w:r>
          </w:p>
        </w:tc>
        <w:tc>
          <w:tcPr>
            <w:tcW w:w="220" w:type="dxa"/>
            <w:vAlign w:val="bottom"/>
          </w:tcPr>
          <w:p>
            <w:pPr>
              <w:spacing w:after="0"/>
              <w:rPr>
                <w:sz w:val="21"/>
                <w:szCs w:val="21"/>
                <w:color w:val="auto"/>
              </w:rPr>
            </w:pPr>
          </w:p>
        </w:tc>
        <w:tc>
          <w:tcPr>
            <w:tcW w:w="1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Adjusted Total</w:t>
            </w:r>
          </w:p>
        </w:tc>
      </w:tr>
      <w:tr>
        <w:trPr>
          <w:trHeight w:val="223"/>
        </w:trPr>
        <w:tc>
          <w:tcPr>
            <w:tcW w:w="556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Accounts receivable</w:t>
            </w:r>
            <w:r>
              <w:rPr>
                <w:rFonts w:ascii="Times New Roman" w:cs="Times New Roman" w:eastAsia="Times New Roman" w:hAnsi="Times New Roman"/>
                <w:sz w:val="23"/>
                <w:szCs w:val="23"/>
                <w:color w:val="auto"/>
                <w:vertAlign w:val="superscript"/>
              </w:rPr>
              <w:t>(1)</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33,679</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28,267</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21,399</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5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12,277</w:t>
            </w:r>
          </w:p>
        </w:tc>
      </w:tr>
      <w:tr>
        <w:trPr>
          <w:trHeight w:val="230"/>
        </w:trPr>
        <w:tc>
          <w:tcPr>
            <w:tcW w:w="5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Trade names</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10,816</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 net of deferred tax asset</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(11,344)</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(17,857)</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29,791</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 exchanged, net of cash acquired</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103,141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103,452</w:t>
            </w: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23"/>
        </w:trPr>
        <w:tc>
          <w:tcPr>
            <w:tcW w:w="5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consideration</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98,756</w:t>
            </w:r>
          </w:p>
        </w:tc>
      </w:tr>
      <w:tr>
        <w:trPr>
          <w:trHeight w:val="230"/>
        </w:trPr>
        <w:tc>
          <w:tcPr>
            <w:tcW w:w="556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Deferred consideration</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4,696</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 exchanged, net of cash acquired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103,452</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580" w:hanging="248"/>
        <w:spacing w:after="0" w:line="225" w:lineRule="auto"/>
        <w:tabs>
          <w:tab w:leader="none" w:pos="619"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Accounts receivable had an estimated fair value of $33.7 million and a gross contractual value of $34.3 million. The difference represents the Company’s best estimate of the contractual cash flows that will not be collected.</w:t>
      </w:r>
    </w:p>
    <w:p>
      <w:pPr>
        <w:spacing w:after="0" w:line="24" w:lineRule="exact"/>
        <w:rPr>
          <w:rFonts w:ascii="Times New Roman" w:cs="Times New Roman" w:eastAsia="Times New Roman" w:hAnsi="Times New Roman"/>
          <w:sz w:val="21"/>
          <w:szCs w:val="21"/>
          <w:color w:val="auto"/>
          <w:vertAlign w:val="superscript"/>
        </w:rPr>
      </w:pPr>
    </w:p>
    <w:p>
      <w:pPr>
        <w:ind w:left="480" w:hanging="148"/>
        <w:spacing w:after="0"/>
        <w:tabs>
          <w:tab w:leader="none" w:pos="48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Company paid $1.0 million and $0.0 million of the Source Atlantic deferred consideration during the years ended December 31, 2025 and 2024, respectively.</w:t>
      </w:r>
    </w:p>
    <w:p>
      <w:pPr>
        <w:spacing w:after="0" w:line="23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Following the initial fair value measurement, the Company updated the purchase price allocation for Source Atlantic primarily related to the ongoing review of the opening balance sheet and revised certain assumptions used in estimating the fair value. The adjustments resulted in a $2.0 million increase to customer relationships and trade names and a $0.7 million decrease to goodwill. Total purchase consideration, net of cash acquired increased due to working capital and other adjustments in accordance with the purchase agreement of $0.3 million. The accounting for the Source Atlantic Transaction was completed during the second quarter of 2025.</w:t>
      </w:r>
    </w:p>
    <w:p>
      <w:pPr>
        <w:spacing w:after="0" w:line="21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customer relationships and trade names intangible assets have estimated useful lives of 17 years and 8 years, respectively. Goodwill generated from the Source Atlantic Transaction is not deductible for tax purposes and is primarily attributable to the benefits we expect to derive from expected synergies, including expanded product and service offerings and cross-selling opportunities.</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S&amp;S Automotive</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1, 2024, DSG acquired all of the issued and outstanding capital stock of S&amp;S Automotive Inc. (“S&amp;S Automotive” and the “S&amp;S Automotive Transaction”), with a purchase price of approximately $80.1 million, net of cash acquired of $0.7 million. S&amp;S Automotive is a distributor of automotive, industrial, and safety supplies primarily to the automotive dealership market based near Chicago in Woodridge, Illinois. S&amp;S Automotive was acquired to expand Lawson’s services and products to the automotive end market. The results of operations of S&amp;S Automotive are included within the Lawson reportable segment. The acquisition was funded using DSG’s cash on hand and its revolving credit facility.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8"/>
          <w:szCs w:val="18"/>
          <w:color w:val="auto"/>
        </w:rPr>
        <w:t>The following table summarizes the allocation of consideration exchanged to the estimated fair values of assets acquired and liabilities assumed, including the allocation to other intangible assets acquired: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S&amp;S Automotive</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r>
      <w:tr>
        <w:trPr>
          <w:trHeight w:val="169"/>
        </w:trPr>
        <w:tc>
          <w:tcPr>
            <w:tcW w:w="6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color w:val="auto"/>
              </w:rPr>
              <w:t>May 1, 2024</w:t>
            </w:r>
          </w:p>
        </w:tc>
        <w:tc>
          <w:tcPr>
            <w:tcW w:w="1700" w:type="dxa"/>
            <w:vAlign w:val="bottom"/>
            <w:gridSpan w:val="3"/>
          </w:tcPr>
          <w:p>
            <w:pPr>
              <w:jc w:val="center"/>
              <w:ind w:right="120"/>
              <w:spacing w:after="0" w:line="169" w:lineRule="exact"/>
              <w:rPr>
                <w:sz w:val="20"/>
                <w:szCs w:val="20"/>
                <w:color w:val="auto"/>
              </w:rPr>
            </w:pPr>
            <w:r>
              <w:rPr>
                <w:rFonts w:ascii="Times New Roman" w:cs="Times New Roman" w:eastAsia="Times New Roman" w:hAnsi="Times New Roman"/>
                <w:sz w:val="18"/>
                <w:szCs w:val="18"/>
                <w:color w:val="auto"/>
              </w:rPr>
              <w:t>Measurement Period</w:t>
            </w: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4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80" w:type="dxa"/>
            <w:vAlign w:val="bottom"/>
          </w:tcPr>
          <w:p>
            <w:pPr>
              <w:spacing w:after="0"/>
              <w:rPr>
                <w:sz w:val="21"/>
                <w:szCs w:val="21"/>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Acquisition Date</w:t>
            </w:r>
          </w:p>
        </w:tc>
        <w:tc>
          <w:tcPr>
            <w:tcW w:w="220" w:type="dxa"/>
            <w:vAlign w:val="bottom"/>
          </w:tcPr>
          <w:p>
            <w:pPr>
              <w:spacing w:after="0"/>
              <w:rPr>
                <w:sz w:val="21"/>
                <w:szCs w:val="21"/>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tcPr>
          <w:p>
            <w:pPr>
              <w:spacing w:after="0"/>
              <w:rPr>
                <w:sz w:val="21"/>
                <w:szCs w:val="21"/>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Adjusted Total</w:t>
            </w:r>
          </w:p>
        </w:tc>
      </w:tr>
      <w:tr>
        <w:trPr>
          <w:trHeight w:val="223"/>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6,897</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7,581</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w:t>
            </w:r>
          </w:p>
        </w:tc>
      </w:tr>
      <w:tr>
        <w:trPr>
          <w:trHeight w:val="230"/>
        </w:trPr>
        <w:tc>
          <w:tcPr>
            <w:tcW w:w="6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Trade names</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11,900</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(7,604)</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34,315</w:t>
            </w: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 exchanged, net of cash acquired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80,052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80,052</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consideration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78,659</w:t>
            </w:r>
          </w:p>
        </w:tc>
      </w:tr>
      <w:tr>
        <w:trPr>
          <w:trHeight w:val="230"/>
        </w:trPr>
        <w:tc>
          <w:tcPr>
            <w:tcW w:w="610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Deferred consideration</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r>
      <w:tr>
        <w:trPr>
          <w:trHeight w:val="248"/>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 exchanged, net of cash acquired</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80,052</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580" w:hanging="248"/>
        <w:spacing w:after="0" w:line="225" w:lineRule="auto"/>
        <w:tabs>
          <w:tab w:leader="none" w:pos="565"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paid $0.2 million and $0.9 million of the S&amp;S Automotive deferred consideration during the years ended December 31, 2025 and 2024, respectively. As of December 31, 2025, there is no deferred consideration remaining.</w:t>
      </w:r>
    </w:p>
    <w:p>
      <w:pPr>
        <w:spacing w:after="0" w:line="21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Following the initial fair value measurement, the Company updated the purchase price allocation for S&amp;S Automotive primarily related to the ongoing review of the opening balance sheet and revised certain assumptions used in estimating the fair value. The adjustments resulted in a $7.0 million decrease to customer relationships and trade names and a $7.4 million increase to goodwill. The accounting for the S&amp;S Automotive Transaction was completed during the first quarter of 2025.</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customer relationships and trade names intangible assets have estimated useful lives of 17 years and 8 years, respectively. As a result of the S&amp;S Automotive Transaction, the Company recorded tax deductible goodwill of $34.3 million in 2024 that may result in a tax benefit in future periods and is primarily attributable to the benefits we expect to derive from expected synergies, including expanded product and service offerings and cross-selling opportunities.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Emergent Safety Supply</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January 19, 2024, DSG acquired the assets of Safety Supply Illinois LLC, conducting business as Emergent Safety Supply (“ESS” and the “ESS Transaction”), with a purchase price of $9.9 million. ESS is a national distributor of safety products based near Chicago in Batavia, Illinois. ESS was acquired to expand Lawson’s safety product category. The results of operations of ESS are included within the Lawson reportable segment. The acquisition was funded using DSG’s cash on hand.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8"/>
          <w:szCs w:val="18"/>
          <w:color w:val="auto"/>
        </w:rPr>
        <w:t>The following table summarizes the allocation of consideration exchanged to the estimated fair values of assets acquired and liabilities assumed, including the allocation to other intangible assets acquired: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5"/>
          </w:tcPr>
          <w:p>
            <w:pPr>
              <w:ind w:left="1460"/>
              <w:spacing w:after="0"/>
              <w:rPr>
                <w:sz w:val="20"/>
                <w:szCs w:val="20"/>
                <w:color w:val="auto"/>
              </w:rPr>
            </w:pPr>
            <w:r>
              <w:rPr>
                <w:rFonts w:ascii="Times New Roman" w:cs="Times New Roman" w:eastAsia="Times New Roman" w:hAnsi="Times New Roman"/>
                <w:sz w:val="18"/>
                <w:szCs w:val="18"/>
                <w:b w:val="1"/>
                <w:bCs w:val="1"/>
                <w:color w:val="auto"/>
              </w:rPr>
              <w:t>Emergent Safety Supply</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r>
      <w:tr>
        <w:trPr>
          <w:trHeight w:val="169"/>
        </w:trPr>
        <w:tc>
          <w:tcPr>
            <w:tcW w:w="6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ind w:left="80"/>
              <w:spacing w:after="0" w:line="169" w:lineRule="exact"/>
              <w:rPr>
                <w:sz w:val="20"/>
                <w:szCs w:val="20"/>
                <w:color w:val="auto"/>
              </w:rPr>
            </w:pPr>
            <w:r>
              <w:rPr>
                <w:rFonts w:ascii="Times New Roman" w:cs="Times New Roman" w:eastAsia="Times New Roman" w:hAnsi="Times New Roman"/>
                <w:sz w:val="18"/>
                <w:szCs w:val="18"/>
                <w:color w:val="auto"/>
              </w:rPr>
              <w:t>January 19, 2024</w:t>
            </w:r>
          </w:p>
        </w:tc>
        <w:tc>
          <w:tcPr>
            <w:tcW w:w="1700" w:type="dxa"/>
            <w:vAlign w:val="bottom"/>
            <w:gridSpan w:val="3"/>
          </w:tcPr>
          <w:p>
            <w:pPr>
              <w:jc w:val="center"/>
              <w:ind w:right="120"/>
              <w:spacing w:after="0" w:line="169" w:lineRule="exact"/>
              <w:rPr>
                <w:sz w:val="20"/>
                <w:szCs w:val="20"/>
                <w:color w:val="auto"/>
              </w:rPr>
            </w:pPr>
            <w:r>
              <w:rPr>
                <w:rFonts w:ascii="Times New Roman" w:cs="Times New Roman" w:eastAsia="Times New Roman" w:hAnsi="Times New Roman"/>
                <w:sz w:val="18"/>
                <w:szCs w:val="18"/>
                <w:color w:val="auto"/>
              </w:rPr>
              <w:t>Measurement Period</w:t>
            </w: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4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80" w:type="dxa"/>
            <w:vAlign w:val="bottom"/>
          </w:tcPr>
          <w:p>
            <w:pPr>
              <w:spacing w:after="0"/>
              <w:rPr>
                <w:sz w:val="21"/>
                <w:szCs w:val="21"/>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Acquisition Date</w:t>
            </w:r>
          </w:p>
        </w:tc>
        <w:tc>
          <w:tcPr>
            <w:tcW w:w="220" w:type="dxa"/>
            <w:vAlign w:val="bottom"/>
          </w:tcPr>
          <w:p>
            <w:pPr>
              <w:spacing w:after="0"/>
              <w:rPr>
                <w:sz w:val="21"/>
                <w:szCs w:val="21"/>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tcPr>
          <w:p>
            <w:pPr>
              <w:spacing w:after="0"/>
              <w:rPr>
                <w:sz w:val="21"/>
                <w:szCs w:val="21"/>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Adjusted Total</w:t>
            </w:r>
          </w:p>
        </w:tc>
      </w:tr>
      <w:tr>
        <w:trPr>
          <w:trHeight w:val="223"/>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r>
      <w:tr>
        <w:trPr>
          <w:trHeight w:val="230"/>
        </w:trPr>
        <w:tc>
          <w:tcPr>
            <w:tcW w:w="6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Trade names</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w:t>
            </w: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 exchanged, net of cash acquired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9,854</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consideration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8,904</w:t>
            </w:r>
          </w:p>
        </w:tc>
      </w:tr>
      <w:tr>
        <w:trPr>
          <w:trHeight w:val="230"/>
        </w:trPr>
        <w:tc>
          <w:tcPr>
            <w:tcW w:w="610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Deferred consideration</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248"/>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 exchanged, net of cash acquired</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9,854</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580" w:hanging="248"/>
        <w:spacing w:after="0" w:line="225" w:lineRule="auto"/>
        <w:tabs>
          <w:tab w:leader="none" w:pos="646"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paid $0.8 million and $0.2 million of the ESS deferred consideration during the year ended December 31, 2025 and 2024, respectively. As of December 31, 2025, there is no deferred consideration remaining.</w:t>
      </w:r>
    </w:p>
    <w:p>
      <w:pPr>
        <w:spacing w:after="0" w:line="21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Following the initial fair value measurement, the Company updated the purchase price allocation for ESS primarily related to the ongoing review of the opening balance sheet and revised certain assumptions used in estimating the fair value. The adjustments resulted in a $0.1 million increase to customer relationships and a $0.1 million decrease to goodwill. The accounting for the ESS Transaction was completed during the fourth quarter of 2024.</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customer relationships and trade names intangible assets have estimated useful lives of 16 years and 8 years, respectively. As a result of the ESS Transaction, the Company recorded tax deductible goodwill of $2.9 million in 2024 that may result in a tax benefit in future periods and is primarily attributable to the benefits we expect to derive from expected synergies, including expanded product and service offerings and cross-selling opportunities.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Acquisition</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HIS Company, Inc.</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June 8, 2023, DSG acquired all of the issued and outstanding capital stock of HIS Company, Inc., a Texas corporation (“Hisco” and the “Hisco Transaction”), a distributor of specialty products serving industrial technology applications, pursuant to a Stock Purchase Agreement dated March 30, 2023 (the “Hisco Purchase Agreement”). In connection with this transaction, DSG combined the operations of TestEquity and Hisco, further expanding the product and service offerings at TestEquity, as well as all of our operating businesses under DSG. The results of operations of Hisco are included within the TestEquity reportable segment.</w:t>
      </w:r>
    </w:p>
    <w:p>
      <w:pPr>
        <w:spacing w:after="0" w:line="21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total purchase consideration exchanged for the Hisco Transaction was $267.2 million, net of cash acquired of $12.2 million, with a potential additional earn-out payment subject to Hisco achieving certain performance targets. Refer to Note 8 – Earnout Liabilities for additional information on the earn-out. Under the Hisco Purchase Agreement, DSG became obligated to pay $37.5 million in cash or DSG common stock in retention bonuses to certain Hisco employees that remain employed with Hisco or its affiliates for at least twelve months after the closing of the Hisco Transaction. Pursuant to the Hisco Purchase Agreement, the Company paid $1.8 million of the retention bonuses in 2023, $34.6 million in 2024 and the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remaining balance of $1.1 million in 2025. Compensation expense was recorded over the service period for the retention bonuses as a component of Selling, general and administrative expenses in the Consolidated Statements of Operations and Comprehensive Income (Loss). Compensation expense inclusive of payroll taxes was $0.0 million for the year ended December 31, 2025, $16.3 million for the year ended December 31, 2024 and $22.8 million for the year ended December 31, 2023.</w:t>
      </w: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DSG funded the Hisco Transaction with borrowings under its Original Credit Agreement and proceeds raised from the Rights Offering. Refer to Note 9 – Debt for information about the Original Credit Agreement and Note 11 – Stockholders’ Equity for details on the Rights Offering.</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Hisco Purchase Agreement allowed certain eligible Hisco employees to invest all or a portion of their respective closing payment in DSG common stock at $22.50 per share, up to an aggregate value of DSG common stock issued to such eligible Hisco employees of $25.0 million. During 2023, the Company issued 144,608 shares of DSG common stock to the eligible Hisco employees and received approximately $3.3 million. During 2023, approximately $0.4 million was recorded as compensation expense for the discount between the prevailing market price of the DSG common stock on the date of purchase and the purchase price of $22.50 per share as a component of Selling, general and administrative expenses in the Consolidated Statements of Operations and Comprehensive Income (Loss).</w:t>
      </w:r>
    </w:p>
    <w:p>
      <w:pPr>
        <w:spacing w:after="0" w:line="214"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The following table summarizes the allocation of consideration exchanged to the estimated fair values of assets acquired and liabilities assumed, including the allocation to other intangible assets acquired: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Hisco</w:t>
            </w: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color w:val="auto"/>
              </w:rPr>
              <w:t>June 8, 2023</w:t>
            </w:r>
          </w:p>
        </w:tc>
        <w:tc>
          <w:tcPr>
            <w:tcW w:w="120" w:type="dxa"/>
            <w:vAlign w:val="bottom"/>
          </w:tcPr>
          <w:p>
            <w:pPr>
              <w:spacing w:after="0"/>
              <w:rPr>
                <w:sz w:val="14"/>
                <w:szCs w:val="14"/>
                <w:color w:val="auto"/>
              </w:rPr>
            </w:pPr>
          </w:p>
        </w:tc>
        <w:tc>
          <w:tcPr>
            <w:tcW w:w="1700" w:type="dxa"/>
            <w:vAlign w:val="bottom"/>
            <w:gridSpan w:val="2"/>
          </w:tcPr>
          <w:p>
            <w:pPr>
              <w:jc w:val="center"/>
              <w:ind w:right="200"/>
              <w:spacing w:after="0" w:line="169" w:lineRule="exact"/>
              <w:rPr>
                <w:sz w:val="20"/>
                <w:szCs w:val="20"/>
                <w:color w:val="auto"/>
              </w:rPr>
            </w:pPr>
            <w:r>
              <w:rPr>
                <w:rFonts w:ascii="Times New Roman" w:cs="Times New Roman" w:eastAsia="Times New Roman" w:hAnsi="Times New Roman"/>
                <w:sz w:val="18"/>
                <w:szCs w:val="18"/>
                <w:color w:val="auto"/>
              </w:rPr>
              <w:t>Measurement Period</w:t>
            </w: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60" w:type="dxa"/>
            <w:vAlign w:val="bottom"/>
          </w:tcPr>
          <w:p>
            <w:pPr>
              <w:spacing w:after="0"/>
              <w:rPr>
                <w:sz w:val="21"/>
                <w:szCs w:val="21"/>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Acquisition Date</w:t>
            </w:r>
          </w:p>
        </w:tc>
        <w:tc>
          <w:tcPr>
            <w:tcW w:w="120" w:type="dxa"/>
            <w:vAlign w:val="bottom"/>
          </w:tcPr>
          <w:p>
            <w:pPr>
              <w:spacing w:after="0"/>
              <w:rPr>
                <w:sz w:val="21"/>
                <w:szCs w:val="21"/>
                <w:color w:val="auto"/>
              </w:rPr>
            </w:pP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Adjustments</w:t>
            </w:r>
          </w:p>
        </w:tc>
        <w:tc>
          <w:tcPr>
            <w:tcW w:w="220" w:type="dxa"/>
            <w:vAlign w:val="bottom"/>
          </w:tcPr>
          <w:p>
            <w:pPr>
              <w:spacing w:after="0"/>
              <w:rPr>
                <w:sz w:val="21"/>
                <w:szCs w:val="21"/>
                <w:color w:val="auto"/>
              </w:rPr>
            </w:pP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Adjusted Total</w:t>
            </w:r>
          </w:p>
        </w:tc>
        <w:tc>
          <w:tcPr>
            <w:tcW w:w="0" w:type="dxa"/>
            <w:vAlign w:val="bottom"/>
          </w:tcPr>
          <w:p>
            <w:pPr>
              <w:spacing w:after="0"/>
              <w:rPr>
                <w:sz w:val="1"/>
                <w:szCs w:val="1"/>
                <w:color w:val="auto"/>
              </w:rPr>
            </w:pPr>
          </w:p>
        </w:tc>
      </w:tr>
      <w:tr>
        <w:trPr>
          <w:trHeight w:val="223"/>
        </w:trPr>
        <w:tc>
          <w:tcPr>
            <w:tcW w:w="594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Accounts receivable</w:t>
            </w:r>
            <w:r>
              <w:rPr>
                <w:rFonts w:ascii="Times New Roman" w:cs="Times New Roman" w:eastAsia="Times New Roman" w:hAnsi="Times New Roman"/>
                <w:sz w:val="23"/>
                <w:szCs w:val="23"/>
                <w:color w:val="auto"/>
                <w:vertAlign w:val="superscript"/>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66,792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64,523</w:t>
            </w: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60,655</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48,326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48,326</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22,290</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29"/>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Trade names</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25,300</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 net of deferred tax asset</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(16,689)</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(22,079)</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49,718</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49,840</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 exchanged, net of cash acquired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270,425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267,156</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Cash consideration</w:t>
            </w:r>
          </w:p>
        </w:tc>
        <w:tc>
          <w:tcPr>
            <w:tcW w:w="1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940" w:type="dxa"/>
            <w:vAlign w:val="bottom"/>
            <w:tcBorders>
              <w:top w:val="single" w:sz="8" w:color="CCEEFF"/>
            </w:tcBorders>
            <w:vMerge w:val="continue"/>
          </w:tcPr>
          <w:p>
            <w:pPr>
              <w:spacing w:after="0"/>
              <w:rPr>
                <w:sz w:val="17"/>
                <w:szCs w:val="17"/>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252,007</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252,007</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Deferred consideration</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15,049</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 exchanged, net of cash acquired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270,425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267,156</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580" w:hanging="248"/>
        <w:spacing w:after="0" w:line="225" w:lineRule="auto"/>
        <w:tabs>
          <w:tab w:leader="none" w:pos="619"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Accounts receivable had an estimated fair value of $64.5 million and a gross contractual value of $66.8 million. The difference represents the Company’s best estimate of the contractual cash flows that will not be collected.</w:t>
      </w:r>
    </w:p>
    <w:p>
      <w:pPr>
        <w:spacing w:after="0" w:line="33" w:lineRule="exact"/>
        <w:rPr>
          <w:rFonts w:ascii="Times New Roman" w:cs="Times New Roman" w:eastAsia="Times New Roman" w:hAnsi="Times New Roman"/>
          <w:sz w:val="21"/>
          <w:szCs w:val="21"/>
          <w:color w:val="auto"/>
          <w:vertAlign w:val="superscript"/>
        </w:rPr>
      </w:pPr>
    </w:p>
    <w:p>
      <w:pPr>
        <w:ind w:left="580" w:right="20" w:hanging="248"/>
        <w:spacing w:after="0" w:line="232" w:lineRule="auto"/>
        <w:tabs>
          <w:tab w:leader="none" w:pos="565"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paid $0.0 million of the Hisco deferred consideration during 2025, $7.2 million during 2024 and $7.8 million during 2023. As of December 31, 2024, there was no deferred consideration remaining.</w:t>
      </w:r>
    </w:p>
    <w:p>
      <w:pPr>
        <w:spacing w:after="0" w:line="2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Following the initial fair value measurement, the Company updated the purchase price allocation for Hisco primarily related to the ongoing review of the opening balance sheet and contractual working capital adjustments and revised certain assumptions used in estimating the fair value of the contingent consideration. The adjustments to these balances resulted in a $0.1 million increase to goodwill and a $3.3 million decrease to the total purchase consideration, net of cash acquired. The accounting for the Hisco Transaction was completed during the second quarter of 2024.</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customer relationships and trade names intangible assets have estimated useful lives of 12 years and 8 years, respectively. As a result of the Hisco Transaction, the Company recorded tax deductible goodwill of $41.4 million in 2023 that may result in a tax benefit in future periods and is primarily attributable to the benefits we expect to derive from expected synergies, including expanded product and service offerings and cross-selling opportunities.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Pro Forma Information</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table presents estimated unaudited pro forma consolidated financial information for DSG as if the acquisitions disclosed above occurred on January 1, 2023 for the acquisitions completed during 2024 and January 1, 2022 for the acquisition completed during 2023. The unaudited pro forma information reflects adjustments including amortization on acquired intangible assets, interest expense, and the related tax effects. This information is presented for informational purposes only and is not necessarily indicative of future results or the results that would have occurred had the acquisitions been completed on the date indicated.</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00" w:type="dxa"/>
            <w:vAlign w:val="bottom"/>
            <w:tcBorders>
              <w:bottom w:val="single" w:sz="8" w:color="auto"/>
            </w:tcBorders>
          </w:tcPr>
          <w:p>
            <w:pPr>
              <w:spacing w:after="0"/>
              <w:rPr>
                <w:sz w:val="20"/>
                <w:szCs w:val="20"/>
                <w:color w:val="auto"/>
              </w:rPr>
            </w:pPr>
          </w:p>
        </w:tc>
      </w:tr>
      <w:tr>
        <w:trPr>
          <w:trHeight w:val="22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1,980,023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1,941,457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1,998,209</w:t>
            </w:r>
          </w:p>
        </w:tc>
      </w:tr>
      <w:tr>
        <w:trPr>
          <w:trHeight w:val="234"/>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8,345</w:t>
            </w: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(18,493)</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Actual Results of Business Acquisitions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actual results attributable to our acquisitions that were included in the consolidated financial statements for the years ended December 31, 2025, 2024 and 2023. The results for each of the businesses acquired in these acquisitions are only included in the following table for the portion of the year of the respective acquisition that is subsequent to its respective acquisition date provided above.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60" w:type="dxa"/>
            <w:vAlign w:val="bottom"/>
            <w:tcBorders>
              <w:bottom w:val="single" w:sz="8" w:color="auto"/>
            </w:tcBorders>
          </w:tcPr>
          <w:p>
            <w:pPr>
              <w:spacing w:after="0"/>
              <w:rPr>
                <w:sz w:val="20"/>
                <w:szCs w:val="20"/>
                <w:color w:val="auto"/>
              </w:rPr>
            </w:pPr>
          </w:p>
        </w:tc>
      </w:tr>
      <w:tr>
        <w:trPr>
          <w:trHeight w:val="223"/>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111,566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229,358</w:t>
            </w:r>
          </w:p>
        </w:tc>
      </w:tr>
      <w:tr>
        <w:trPr>
          <w:trHeight w:val="234"/>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100" w:type="dxa"/>
            <w:vAlign w:val="bottom"/>
          </w:tcPr>
          <w:p>
            <w:pPr>
              <w:spacing w:after="0"/>
              <w:rPr>
                <w:sz w:val="20"/>
                <w:szCs w:val="20"/>
                <w:color w:val="auto"/>
              </w:rPr>
            </w:pP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(14,478)</w:t>
            </w:r>
          </w:p>
        </w:tc>
      </w:tr>
    </w:tbl>
    <w:p>
      <w:pPr>
        <w:spacing w:after="0" w:line="30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incurred transaction and integration costs related to completed and contemplated acquisitions of $0.2 million for the year ended December 31, 2025, $10.1 million for the year ended December 31, 2024, and $11.6 million for the year ended December 31, 2023, which are included in Selling, general and administrative expenses in the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Revenue Recognition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revenue is primarily comprised of product sales to customers. The Company has disaggregated revenue by geographic area and by segment as it most reasonably depicts the amount, timing and uncertainty of revenue and cash flows generated from our contracts with customers. Disaggregated consolidated revenue by geographic area (based on the location to which the product is shipped to):</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1,459,885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1,389,754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1,253,401</w:t>
            </w: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141,125</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79,643</w:t>
            </w: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Pacific Rim</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13,515</w:t>
            </w: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131,345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74,577</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9,841</w:t>
            </w: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revenue elimination</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r>
      <w:tr>
        <w:trPr>
          <w:trHeight w:val="223"/>
        </w:trPr>
        <w:tc>
          <w:tcPr>
            <w:tcW w:w="5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1,980,023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1,804,104</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1,570,402</w:t>
            </w:r>
          </w:p>
        </w:tc>
      </w:tr>
      <w:tr>
        <w:trPr>
          <w:trHeight w:val="20"/>
        </w:trPr>
        <w:tc>
          <w:tcPr>
            <w:tcW w:w="56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14 – Segment Information for disaggregation of revenue by segment.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Rental Revenue</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TestEquity rents new and used electronic test and measurement equipment to customers in multiple industries. Lawson leases parts washer machines to customers. This leased equipment is included in Rental equipment, net in the Consolidated Balance Sheets, and rental revenue is included in Revenue in the Consolidated Statements of Operations and Comprehensive Income (Loss). The unearned rental revenue related to customer prepayments on equipment leases was nominal at December 31, 2025 and December 31, 2024.</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Rental revenue from operating leases: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operating leases</w:t>
            </w: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17,186</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Deferred consideration for the service performance obligations that have not been satisfied will be recognized within twelve months of the respective balance sheet date. The table below summarizes our changes in contract liabilities for the periods presented.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360" w:type="dxa"/>
            <w:vAlign w:val="bottom"/>
            <w:tcBorders>
              <w:bottom w:val="single" w:sz="8" w:color="auto"/>
            </w:tcBorders>
          </w:tcPr>
          <w:p>
            <w:pPr>
              <w:spacing w:after="0"/>
              <w:rPr>
                <w:sz w:val="20"/>
                <w:szCs w:val="20"/>
                <w:color w:val="auto"/>
              </w:rPr>
            </w:pPr>
          </w:p>
        </w:tc>
      </w:tr>
      <w:tr>
        <w:trPr>
          <w:trHeight w:val="223"/>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8"/>
              </w:rPr>
              <w:t>3,727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r>
      <w:tr>
        <w:trPr>
          <w:trHeight w:val="230"/>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400" w:type="dxa"/>
            <w:vAlign w:val="bottom"/>
          </w:tcPr>
          <w:p>
            <w:pPr>
              <w:spacing w:after="0"/>
              <w:rPr>
                <w:sz w:val="19"/>
                <w:szCs w:val="19"/>
                <w:color w:val="auto"/>
              </w:rPr>
            </w:pPr>
          </w:p>
        </w:tc>
        <w:tc>
          <w:tcPr>
            <w:tcW w:w="13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8"/>
              </w:rPr>
              <w:t>5,207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r>
      <w:tr>
        <w:trPr>
          <w:trHeight w:val="229"/>
        </w:trPr>
        <w:tc>
          <w:tcPr>
            <w:tcW w:w="5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 recognized</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rPr>
              <w:t>(3,727)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r>
      <w:tr>
        <w:trPr>
          <w:trHeight w:val="22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8"/>
              </w:rPr>
              <w:t>5,207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w:t>
            </w:r>
          </w:p>
        </w:tc>
      </w:tr>
      <w:tr>
        <w:trPr>
          <w:trHeight w:val="21"/>
        </w:trPr>
        <w:tc>
          <w:tcPr>
            <w:tcW w:w="5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Supplemental Financial Statement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agreed to maintain restricted cash of $13.6 million under agreements with outside parties. During 2024 and 2023, escrow accounts were established in conjunction with certain business acquisitions, to be released upon meeting certain working capital and other post-closing requirements as of the contractual post-acquisition dates with a balance of $5.1 million at December 31, 2025. The Company is restricted from withdrawing this balance without the prior consent of the sellers. The remaining restricted cash balance of $8.5 million represents collateral for certain borrowings under the Amended Credit Agreement, and the Company is restricted from withdrawing this balance without the prior consent of the respective lenders.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Components of property, plant and equipment, net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tcBorders>
              <w:bottom w:val="single" w:sz="8" w:color="auto"/>
            </w:tcBorders>
          </w:tcPr>
          <w:p>
            <w:pPr>
              <w:spacing w:after="0"/>
              <w:rPr>
                <w:sz w:val="20"/>
                <w:szCs w:val="20"/>
                <w:color w:val="auto"/>
              </w:rPr>
            </w:pPr>
          </w:p>
        </w:tc>
      </w:tr>
      <w:tr>
        <w:trPr>
          <w:trHeight w:val="223"/>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16,187</w:t>
            </w: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63,935</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62,750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55,890</w:t>
            </w: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12,295</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13,251</w:t>
            </w: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5,716</w:t>
            </w:r>
          </w:p>
        </w:tc>
      </w:tr>
      <w:tr>
        <w:trPr>
          <w:trHeight w:val="229"/>
        </w:trPr>
        <w:tc>
          <w:tcPr>
            <w:tcW w:w="7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Construction in progress</w:t>
            </w:r>
            <w:r>
              <w:rPr>
                <w:rFonts w:ascii="Times New Roman" w:cs="Times New Roman" w:eastAsia="Times New Roman" w:hAnsi="Times New Roman"/>
                <w:sz w:val="23"/>
                <w:szCs w:val="23"/>
                <w:color w:val="auto"/>
                <w:vertAlign w:val="superscript"/>
              </w:rPr>
              <w:t>(1)</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8,112</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w:t>
            </w:r>
          </w:p>
        </w:tc>
      </w:tr>
      <w:tr>
        <w:trPr>
          <w:trHeight w:val="223"/>
        </w:trPr>
        <w:tc>
          <w:tcPr>
            <w:tcW w:w="7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195,423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173,558</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(68,818)</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(48,034)</w:t>
            </w:r>
          </w:p>
        </w:tc>
      </w:tr>
      <w:tr>
        <w:trPr>
          <w:trHeight w:val="223"/>
        </w:trPr>
        <w:tc>
          <w:tcPr>
            <w:tcW w:w="7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126,605</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125,524</w:t>
            </w:r>
          </w:p>
        </w:tc>
      </w:tr>
      <w:tr>
        <w:trPr>
          <w:trHeight w:val="20"/>
        </w:trPr>
        <w:tc>
          <w:tcPr>
            <w:tcW w:w="7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580" w:hanging="248"/>
        <w:spacing w:after="0" w:line="225" w:lineRule="auto"/>
        <w:tabs>
          <w:tab w:leader="none" w:pos="565"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Construction in progress primarily relates to upgrades to certain of the Company’s information technology systems and distribution facilities that we expect to place in service in the next twelve months.</w:t>
      </w:r>
    </w:p>
    <w:p>
      <w:pPr>
        <w:spacing w:after="0" w:line="218" w:lineRule="exact"/>
        <w:rPr>
          <w:sz w:val="20"/>
          <w:szCs w:val="20"/>
          <w:color w:val="auto"/>
        </w:rPr>
      </w:pPr>
    </w:p>
    <w:p>
      <w:pPr>
        <w:ind w:right="20" w:firstLine="324"/>
        <w:spacing w:after="0" w:line="271" w:lineRule="auto"/>
        <w:rPr>
          <w:sz w:val="20"/>
          <w:szCs w:val="20"/>
          <w:color w:val="auto"/>
        </w:rPr>
      </w:pPr>
      <w:r>
        <w:rPr>
          <w:rFonts w:ascii="Times New Roman" w:cs="Times New Roman" w:eastAsia="Times New Roman" w:hAnsi="Times New Roman"/>
          <w:sz w:val="18"/>
          <w:szCs w:val="18"/>
          <w:color w:val="auto"/>
        </w:rPr>
        <w:t>Depreciation expense for property, plant and equipment and amortization expense for capitalized software, which are included in Selling, general and administrative expenses in the Consolidated Statements of Operations and Comprehensive Income (Loss),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5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23"/>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 for property, plant and equipment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13,052</w:t>
            </w:r>
          </w:p>
        </w:tc>
      </w:tr>
      <w:tr>
        <w:trPr>
          <w:trHeight w:val="234"/>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expense for capitalized software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54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w:t>
            </w:r>
          </w:p>
        </w:tc>
      </w:tr>
      <w:tr>
        <w:trPr>
          <w:trHeight w:val="549"/>
        </w:trPr>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Rental Equipment, net</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59"/>
        </w:trPr>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Rental equipment, net consisted of the following:</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6"/>
        </w:trPr>
        <w:tc>
          <w:tcPr>
            <w:tcW w:w="5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tcBorders>
              <w:bottom w:val="single" w:sz="8" w:color="auto"/>
            </w:tcBorders>
          </w:tcPr>
          <w:p>
            <w:pPr>
              <w:spacing w:after="0"/>
              <w:rPr>
                <w:sz w:val="22"/>
                <w:szCs w:val="22"/>
                <w:color w:val="auto"/>
              </w:rPr>
            </w:pPr>
          </w:p>
        </w:tc>
      </w:tr>
      <w:tr>
        <w:trPr>
          <w:trHeight w:val="223"/>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equipment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gridSpan w:val="2"/>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64,160</w:t>
            </w:r>
          </w:p>
        </w:tc>
      </w:tr>
      <w:tr>
        <w:trPr>
          <w:trHeight w:val="230"/>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4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(29,445)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(24,784)</w:t>
            </w:r>
          </w:p>
        </w:tc>
      </w:tr>
      <w:tr>
        <w:trPr>
          <w:trHeight w:val="248"/>
        </w:trPr>
        <w:tc>
          <w:tcPr>
            <w:tcW w:w="5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Rental equipment, net</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39,376</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for rental equipment, which is included in Cost of goods sold in the Consolidated Statements of Operations and Comprehensive Income (Loss), was as follows: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 for rental equipment</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7,631</w:t>
            </w: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Note 4 – Revenue Recognition for a discussion on the Company’s activities as lessor.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29,267</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23,800</w:t>
            </w:r>
          </w:p>
        </w:tc>
        <w:tc>
          <w:tcPr>
            <w:tcW w:w="0" w:type="dxa"/>
            <w:vAlign w:val="bottom"/>
          </w:tcPr>
          <w:p>
            <w:pPr>
              <w:spacing w:after="0"/>
              <w:rPr>
                <w:sz w:val="1"/>
                <w:szCs w:val="1"/>
                <w:color w:val="auto"/>
              </w:rPr>
            </w:pP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and withheld taxes, other than income taxes</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10,263</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10,178</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customer rebates</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7,847</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0" w:type="dxa"/>
            <w:vAlign w:val="bottom"/>
          </w:tcPr>
          <w:p>
            <w:pPr>
              <w:spacing w:after="0"/>
              <w:rPr>
                <w:sz w:val="1"/>
                <w:szCs w:val="1"/>
                <w:color w:val="auto"/>
              </w:rPr>
            </w:pP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acquisition payments and accrued earnout liabilities</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6,021</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6,384</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0" w:type="dxa"/>
            <w:vAlign w:val="bottom"/>
          </w:tcPr>
          <w:p>
            <w:pPr>
              <w:spacing w:after="0"/>
              <w:rPr>
                <w:sz w:val="1"/>
                <w:szCs w:val="1"/>
                <w:color w:val="auto"/>
              </w:rPr>
            </w:pP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severance and acquisition related retention bonus</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health benefits</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income taxes</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0" w:type="dxa"/>
            <w:vAlign w:val="bottom"/>
          </w:tcPr>
          <w:p>
            <w:pPr>
              <w:spacing w:after="0"/>
              <w:rPr>
                <w:sz w:val="1"/>
                <w:szCs w:val="1"/>
                <w:color w:val="auto"/>
              </w:rPr>
            </w:pP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stock-based compensation</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19,185</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20,013</w:t>
            </w:r>
          </w:p>
        </w:tc>
        <w:tc>
          <w:tcPr>
            <w:tcW w:w="0" w:type="dxa"/>
            <w:vAlign w:val="bottom"/>
          </w:tcPr>
          <w:p>
            <w:pPr>
              <w:spacing w:after="0"/>
              <w:rPr>
                <w:sz w:val="1"/>
                <w:szCs w:val="1"/>
                <w:color w:val="auto"/>
              </w:rPr>
            </w:pPr>
          </w:p>
        </w:tc>
      </w:tr>
      <w:tr>
        <w:trPr>
          <w:trHeight w:val="223"/>
        </w:trPr>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84,137</w:t>
            </w:r>
          </w:p>
        </w:tc>
        <w:tc>
          <w:tcPr>
            <w:tcW w:w="8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81,259</w:t>
            </w: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71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liabilities consisted of the following:</w:t>
            </w: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Security bonus plan</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7,165</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7,536</w:t>
            </w:r>
          </w:p>
        </w:tc>
        <w:tc>
          <w:tcPr>
            <w:tcW w:w="0" w:type="dxa"/>
            <w:vAlign w:val="bottom"/>
          </w:tcPr>
          <w:p>
            <w:pPr>
              <w:spacing w:after="0"/>
              <w:rPr>
                <w:sz w:val="1"/>
                <w:szCs w:val="1"/>
                <w:color w:val="auto"/>
              </w:rPr>
            </w:pP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12,589</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11,455</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4,891</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7,534</w:t>
            </w:r>
          </w:p>
        </w:tc>
        <w:tc>
          <w:tcPr>
            <w:tcW w:w="0" w:type="dxa"/>
            <w:vAlign w:val="bottom"/>
          </w:tcPr>
          <w:p>
            <w:pPr>
              <w:spacing w:after="0"/>
              <w:rPr>
                <w:sz w:val="1"/>
                <w:szCs w:val="1"/>
                <w:color w:val="auto"/>
              </w:rPr>
            </w:pPr>
          </w:p>
        </w:tc>
      </w:tr>
      <w:tr>
        <w:trPr>
          <w:trHeight w:val="223"/>
        </w:trPr>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other liabilities</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24,645</w:t>
            </w:r>
          </w:p>
        </w:tc>
        <w:tc>
          <w:tcPr>
            <w:tcW w:w="8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26,525</w:t>
            </w:r>
          </w:p>
        </w:tc>
        <w:tc>
          <w:tcPr>
            <w:tcW w:w="0" w:type="dxa"/>
            <w:vAlign w:val="bottom"/>
          </w:tcPr>
          <w:p>
            <w:pPr>
              <w:spacing w:after="0"/>
              <w:rPr>
                <w:sz w:val="1"/>
                <w:szCs w:val="1"/>
                <w:color w:val="auto"/>
              </w:rPr>
            </w:pPr>
          </w:p>
        </w:tc>
      </w:tr>
      <w:tr>
        <w:trPr>
          <w:trHeight w:val="21"/>
        </w:trPr>
        <w:tc>
          <w:tcPr>
            <w:tcW w:w="7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Goodwill and Intangible Assets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carrying amount of goodwill by segment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Lawson</w:t>
            </w:r>
          </w:p>
        </w:tc>
        <w:tc>
          <w:tcPr>
            <w:tcW w:w="220" w:type="dxa"/>
            <w:vAlign w:val="bottom"/>
          </w:tcPr>
          <w:p>
            <w:pPr>
              <w:spacing w:after="0"/>
              <w:rPr>
                <w:sz w:val="17"/>
                <w:szCs w:val="17"/>
                <w:color w:val="auto"/>
              </w:rPr>
            </w:pPr>
          </w:p>
        </w:tc>
        <w:tc>
          <w:tcPr>
            <w:tcW w:w="1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TestEquity</w:t>
            </w:r>
          </w:p>
        </w:tc>
        <w:tc>
          <w:tcPr>
            <w:tcW w:w="120" w:type="dxa"/>
            <w:vAlign w:val="bottom"/>
          </w:tcPr>
          <w:p>
            <w:pPr>
              <w:spacing w:after="0"/>
              <w:rPr>
                <w:sz w:val="17"/>
                <w:szCs w:val="17"/>
                <w:color w:val="auto"/>
              </w:rPr>
            </w:pP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Gexpro Services</w:t>
            </w: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Canada Branch</w:t>
            </w:r>
          </w:p>
        </w:tc>
        <w:tc>
          <w:tcPr>
            <w:tcW w:w="320" w:type="dxa"/>
            <w:vAlign w:val="bottom"/>
          </w:tcPr>
          <w:p>
            <w:pPr>
              <w:spacing w:after="0"/>
              <w:rPr>
                <w:sz w:val="17"/>
                <w:szCs w:val="17"/>
                <w:color w:val="auto"/>
              </w:rPr>
            </w:pPr>
          </w:p>
        </w:tc>
        <w:tc>
          <w:tcPr>
            <w:tcW w:w="11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8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Division</w:t>
            </w:r>
          </w:p>
        </w:tc>
        <w:tc>
          <w:tcPr>
            <w:tcW w:w="32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155,915</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164,990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55,743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399,925</w:t>
            </w:r>
          </w:p>
        </w:tc>
        <w:tc>
          <w:tcPr>
            <w:tcW w:w="0" w:type="dxa"/>
            <w:vAlign w:val="bottom"/>
          </w:tcPr>
          <w:p>
            <w:pPr>
              <w:spacing w:after="0"/>
              <w:rPr>
                <w:sz w:val="1"/>
                <w:szCs w:val="1"/>
                <w:color w:val="auto"/>
              </w:rPr>
            </w:pPr>
          </w:p>
        </w:tc>
      </w:tr>
      <w:tr>
        <w:trPr>
          <w:trHeight w:val="229"/>
        </w:trPr>
        <w:tc>
          <w:tcPr>
            <w:tcW w:w="34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Acquisitions</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67,381</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Impact of foreign exchange rates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0" w:type="dxa"/>
            <w:vAlign w:val="bottom"/>
          </w:tcPr>
          <w:p>
            <w:pPr>
              <w:spacing w:after="0"/>
              <w:rPr>
                <w:sz w:val="1"/>
                <w:szCs w:val="1"/>
                <w:color w:val="auto"/>
              </w:rPr>
            </w:pPr>
          </w:p>
        </w:tc>
      </w:tr>
      <w:tr>
        <w:trPr>
          <w:trHeight w:val="22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192,598</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164,880</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56,342</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48,969</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462,789</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Acquisitions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0" w:type="dxa"/>
            <w:vAlign w:val="bottom"/>
          </w:tcPr>
          <w:p>
            <w:pPr>
              <w:spacing w:after="0"/>
              <w:rPr>
                <w:sz w:val="1"/>
                <w:szCs w:val="1"/>
                <w:color w:val="auto"/>
              </w:rPr>
            </w:pPr>
          </w:p>
        </w:tc>
      </w:tr>
      <w:tr>
        <w:trPr>
          <w:trHeight w:val="229"/>
        </w:trPr>
        <w:tc>
          <w:tcPr>
            <w:tcW w:w="3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Impact of foreign exchange rates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0" w:type="dxa"/>
            <w:vAlign w:val="bottom"/>
          </w:tcPr>
          <w:p>
            <w:pPr>
              <w:spacing w:after="0"/>
              <w:rPr>
                <w:sz w:val="1"/>
                <w:szCs w:val="1"/>
                <w:color w:val="auto"/>
              </w:rPr>
            </w:pPr>
          </w:p>
        </w:tc>
      </w:tr>
      <w:tr>
        <w:trPr>
          <w:trHeight w:val="248"/>
        </w:trPr>
        <w:tc>
          <w:tcPr>
            <w:tcW w:w="3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192,875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164,880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467,905</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ind w:left="560" w:hanging="228"/>
        <w:spacing w:after="0"/>
        <w:tabs>
          <w:tab w:leader="none" w:pos="560"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Refer to Note 3 – Business and Asset Acquisitions for information related to measurement period adjustments.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gross carrying amount and accumulated amortization for definite-lived intangible assets were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169"/>
        </w:trPr>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ind w:right="50"/>
              <w:spacing w:after="0" w:line="169" w:lineRule="exact"/>
              <w:rPr>
                <w:sz w:val="20"/>
                <w:szCs w:val="20"/>
                <w:color w:val="auto"/>
              </w:rPr>
            </w:pPr>
            <w:r>
              <w:rPr>
                <w:rFonts w:ascii="Times New Roman" w:cs="Times New Roman" w:eastAsia="Times New Roman" w:hAnsi="Times New Roman"/>
                <w:sz w:val="18"/>
                <w:szCs w:val="18"/>
                <w:color w:val="auto"/>
                <w:w w:val="99"/>
              </w:rPr>
              <w:t>Gross Carrying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color w:val="auto"/>
                <w:w w:val="99"/>
              </w:rPr>
              <w:t>Accumulated</w:t>
            </w:r>
          </w:p>
        </w:tc>
        <w:tc>
          <w:tcPr>
            <w:tcW w:w="160" w:type="dxa"/>
            <w:vAlign w:val="bottom"/>
          </w:tcPr>
          <w:p>
            <w:pPr>
              <w:spacing w:after="0"/>
              <w:rPr>
                <w:sz w:val="14"/>
                <w:szCs w:val="14"/>
                <w:color w:val="auto"/>
              </w:rPr>
            </w:pPr>
          </w:p>
        </w:tc>
        <w:tc>
          <w:tcPr>
            <w:tcW w:w="1240" w:type="dxa"/>
            <w:vAlign w:val="bottom"/>
          </w:tcPr>
          <w:p>
            <w:pPr>
              <w:jc w:val="center"/>
              <w:ind w:right="90"/>
              <w:spacing w:after="0" w:line="169" w:lineRule="exact"/>
              <w:rPr>
                <w:sz w:val="20"/>
                <w:szCs w:val="20"/>
                <w:color w:val="auto"/>
              </w:rPr>
            </w:pPr>
            <w:r>
              <w:rPr>
                <w:rFonts w:ascii="Times New Roman" w:cs="Times New Roman" w:eastAsia="Times New Roman" w:hAnsi="Times New Roman"/>
                <w:sz w:val="18"/>
                <w:szCs w:val="18"/>
                <w:color w:val="auto"/>
                <w:w w:val="99"/>
              </w:rPr>
              <w:t>Net Carrying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right"/>
              <w:ind w:right="70"/>
              <w:spacing w:after="0" w:line="169" w:lineRule="exact"/>
              <w:rPr>
                <w:sz w:val="20"/>
                <w:szCs w:val="20"/>
                <w:color w:val="auto"/>
              </w:rPr>
            </w:pPr>
            <w:r>
              <w:rPr>
                <w:rFonts w:ascii="Times New Roman" w:cs="Times New Roman" w:eastAsia="Times New Roman" w:hAnsi="Times New Roman"/>
                <w:sz w:val="18"/>
                <w:szCs w:val="18"/>
                <w:color w:val="auto"/>
                <w:w w:val="99"/>
              </w:rPr>
              <w:t>Gross Carrying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color w:val="auto"/>
                <w:w w:val="99"/>
              </w:rPr>
              <w:t>Accumulated</w:t>
            </w:r>
          </w:p>
        </w:tc>
        <w:tc>
          <w:tcPr>
            <w:tcW w:w="160" w:type="dxa"/>
            <w:vAlign w:val="bottom"/>
          </w:tcPr>
          <w:p>
            <w:pPr>
              <w:spacing w:after="0"/>
              <w:rPr>
                <w:sz w:val="14"/>
                <w:szCs w:val="14"/>
                <w:color w:val="auto"/>
              </w:rPr>
            </w:pPr>
          </w:p>
        </w:tc>
        <w:tc>
          <w:tcPr>
            <w:tcW w:w="122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color w:val="auto"/>
              </w:rPr>
              <w:t>Net Carrying</w:t>
            </w:r>
          </w:p>
        </w:tc>
      </w:tr>
      <w:tr>
        <w:trPr>
          <w:trHeight w:val="240"/>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40" w:type="dxa"/>
            <w:vAlign w:val="bottom"/>
          </w:tcPr>
          <w:p>
            <w:pPr>
              <w:spacing w:after="0"/>
              <w:rPr>
                <w:sz w:val="20"/>
                <w:szCs w:val="20"/>
                <w:color w:val="auto"/>
              </w:rPr>
            </w:pPr>
          </w:p>
        </w:tc>
        <w:tc>
          <w:tcPr>
            <w:tcW w:w="12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Amortization</w:t>
            </w:r>
          </w:p>
        </w:tc>
        <w:tc>
          <w:tcPr>
            <w:tcW w:w="16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2"/>
              </w:rPr>
              <w:t>Value</w:t>
            </w:r>
          </w:p>
        </w:tc>
        <w:tc>
          <w:tcPr>
            <w:tcW w:w="120" w:type="dxa"/>
            <w:vAlign w:val="bottom"/>
          </w:tcPr>
          <w:p>
            <w:pPr>
              <w:spacing w:after="0"/>
              <w:rPr>
                <w:sz w:val="20"/>
                <w:szCs w:val="20"/>
                <w:color w:val="auto"/>
              </w:rPr>
            </w:pPr>
          </w:p>
        </w:tc>
        <w:tc>
          <w:tcPr>
            <w:tcW w:w="12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Amortization</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Value</w:t>
            </w:r>
          </w:p>
        </w:tc>
      </w:tr>
      <w:tr>
        <w:trPr>
          <w:trHeight w:val="226"/>
        </w:trPr>
        <w:tc>
          <w:tcPr>
            <w:tcW w:w="2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141,637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80,997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141,654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96,268</w:t>
            </w:r>
          </w:p>
        </w:tc>
      </w:tr>
      <w:tr>
        <w:trPr>
          <w:trHeight w:val="230"/>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171,184</w:t>
            </w:r>
          </w:p>
        </w:tc>
      </w:tr>
      <w:tr>
        <w:trPr>
          <w:trHeight w:val="229"/>
        </w:trPr>
        <w:tc>
          <w:tcPr>
            <w:tcW w:w="23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r>
      <w:tr>
        <w:trPr>
          <w:trHeight w:val="223"/>
        </w:trPr>
        <w:tc>
          <w:tcPr>
            <w:tcW w:w="2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424,375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(198,320)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226,055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422,015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(152,252)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269,763</w:t>
            </w:r>
          </w:p>
        </w:tc>
      </w:tr>
      <w:tr>
        <w:trPr>
          <w:trHeight w:val="20"/>
        </w:trPr>
        <w:tc>
          <w:tcPr>
            <w:tcW w:w="2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560" w:hanging="228"/>
        <w:spacing w:after="0"/>
        <w:tabs>
          <w:tab w:leader="none" w:pos="560"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primarily consists of non-compete agreements.</w:t>
      </w: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Amortization expense for definite-lived intangible assets is included in Selling, general and administrative expenses in the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and Comprehensive Income (Loss)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 for intangible assets</w:t>
            </w: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40,263</w:t>
            </w:r>
          </w:p>
        </w:tc>
      </w:tr>
    </w:tbl>
    <w:p>
      <w:pPr>
        <w:spacing w:after="0" w:line="31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remaining weighted-average useful lives of intangible assets as of December 31, 2025 was 3.2 years for trade names and 5.0 years for customer relationships.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estimated aggregate amortization expense for each of the next five years and thereafter are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23"/>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43,666</w:t>
            </w:r>
          </w:p>
        </w:tc>
      </w:tr>
      <w:tr>
        <w:trPr>
          <w:trHeight w:val="230"/>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38,585</w:t>
            </w:r>
          </w:p>
        </w:tc>
      </w:tr>
      <w:tr>
        <w:trPr>
          <w:trHeight w:val="230"/>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34,297</w:t>
            </w:r>
          </w:p>
        </w:tc>
      </w:tr>
      <w:tr>
        <w:trPr>
          <w:trHeight w:val="230"/>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30,791</w:t>
            </w:r>
          </w:p>
        </w:tc>
      </w:tr>
      <w:tr>
        <w:trPr>
          <w:trHeight w:val="229"/>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21,036</w:t>
            </w:r>
          </w:p>
        </w:tc>
      </w:tr>
      <w:tr>
        <w:trPr>
          <w:trHeight w:val="229"/>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57,680</w:t>
            </w:r>
          </w:p>
        </w:tc>
      </w:tr>
      <w:tr>
        <w:trPr>
          <w:trHeight w:val="248"/>
        </w:trPr>
        <w:tc>
          <w:tcPr>
            <w:tcW w:w="9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226,055</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Note 7 – Leases</w:t>
      </w:r>
    </w:p>
    <w:p>
      <w:pPr>
        <w:spacing w:after="0" w:line="256"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8"/>
          <w:szCs w:val="18"/>
          <w:color w:val="auto"/>
        </w:rPr>
        <w:t>The Company leases property used for warehousing, distribution centers, office space, branch locations, equipment and vehicles. The components of lease cost were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r>
      <w:tr>
        <w:trPr>
          <w:trHeight w:val="223"/>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Lease Type</w:t>
            </w:r>
          </w:p>
        </w:tc>
        <w:tc>
          <w:tcPr>
            <w:tcW w:w="274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360" w:type="dxa"/>
            <w:vAlign w:val="bottom"/>
          </w:tcPr>
          <w:p>
            <w:pPr>
              <w:spacing w:after="0"/>
              <w:rPr>
                <w:sz w:val="19"/>
                <w:szCs w:val="19"/>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46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Operating lease expense</w:t>
            </w:r>
            <w:r>
              <w:rPr>
                <w:rFonts w:ascii="Times New Roman" w:cs="Times New Roman" w:eastAsia="Times New Roman" w:hAnsi="Times New Roman"/>
                <w:sz w:val="23"/>
                <w:szCs w:val="23"/>
                <w:color w:val="auto"/>
                <w:vertAlign w:val="superscript"/>
              </w:rPr>
              <w:t>(1)</w:t>
            </w:r>
          </w:p>
        </w:tc>
        <w:tc>
          <w:tcPr>
            <w:tcW w:w="8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23,958</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21,131</w:t>
            </w:r>
          </w:p>
        </w:tc>
      </w:tr>
      <w:tr>
        <w:trPr>
          <w:trHeight w:val="257"/>
        </w:trPr>
        <w:tc>
          <w:tcPr>
            <w:tcW w:w="3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30"/>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lease amortization</w:t>
            </w:r>
          </w:p>
        </w:tc>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229"/>
        </w:trPr>
        <w:tc>
          <w:tcPr>
            <w:tcW w:w="3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Financing lease interest</w:t>
            </w:r>
          </w:p>
        </w:tc>
        <w:tc>
          <w:tcPr>
            <w:tcW w:w="2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3"/>
        </w:trPr>
        <w:tc>
          <w:tcPr>
            <w:tcW w:w="3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Financing lease expense</w:t>
            </w: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30"/>
        </w:trPr>
        <w:tc>
          <w:tcPr>
            <w:tcW w:w="354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Sublease income</w:t>
            </w:r>
            <w:r>
              <w:rPr>
                <w:rFonts w:ascii="Times New Roman" w:cs="Times New Roman" w:eastAsia="Times New Roman" w:hAnsi="Times New Roman"/>
                <w:sz w:val="23"/>
                <w:szCs w:val="23"/>
                <w:color w:val="auto"/>
                <w:vertAlign w:val="superscript"/>
              </w:rPr>
              <w:t>(2)</w:t>
            </w:r>
          </w:p>
        </w:tc>
        <w:tc>
          <w:tcPr>
            <w:tcW w:w="2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lease cost</w:t>
            </w:r>
          </w:p>
        </w:tc>
        <w:tc>
          <w:tcPr>
            <w:tcW w:w="2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21,770</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560" w:hanging="228"/>
        <w:spacing w:after="0"/>
        <w:tabs>
          <w:tab w:leader="none" w:pos="560"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short-term lease expense, which is immaterial.</w:t>
      </w:r>
    </w:p>
    <w:p>
      <w:pPr>
        <w:spacing w:after="0" w:line="50" w:lineRule="exact"/>
        <w:rPr>
          <w:rFonts w:ascii="Times New Roman" w:cs="Times New Roman" w:eastAsia="Times New Roman" w:hAnsi="Times New Roman"/>
          <w:sz w:val="21"/>
          <w:szCs w:val="21"/>
          <w:color w:val="auto"/>
          <w:vertAlign w:val="superscript"/>
        </w:rPr>
      </w:pPr>
    </w:p>
    <w:p>
      <w:pPr>
        <w:ind w:left="580" w:hanging="248"/>
        <w:spacing w:after="0" w:line="215" w:lineRule="auto"/>
        <w:tabs>
          <w:tab w:leader="none" w:pos="565"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subleases excess property to third-party tenants. Sublease income is recognized on a straight-line basis over the sublease agreement and is recorded as an offset to operating lease expense.</w:t>
      </w:r>
    </w:p>
    <w:p>
      <w:pPr>
        <w:spacing w:after="0" w:line="231"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8"/>
          <w:szCs w:val="18"/>
          <w:color w:val="auto"/>
        </w:rPr>
        <w:t>The value of net assets and liabilities related to our operating and finance leases as of December 31, 2025 and December 31, 2024 was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tcBorders>
              <w:bottom w:val="single" w:sz="8" w:color="auto"/>
            </w:tcBorders>
          </w:tcPr>
          <w:p>
            <w:pPr>
              <w:spacing w:after="0"/>
              <w:rPr>
                <w:sz w:val="20"/>
                <w:szCs w:val="20"/>
                <w:color w:val="auto"/>
              </w:rPr>
            </w:pPr>
          </w:p>
        </w:tc>
      </w:tr>
      <w:tr>
        <w:trPr>
          <w:trHeight w:val="223"/>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Lease Type</w:t>
            </w:r>
          </w:p>
        </w:tc>
        <w:tc>
          <w:tcPr>
            <w:tcW w:w="400" w:type="dxa"/>
            <w:vAlign w:val="bottom"/>
          </w:tcPr>
          <w:p>
            <w:pPr>
              <w:spacing w:after="0"/>
              <w:rPr>
                <w:sz w:val="19"/>
                <w:szCs w:val="19"/>
                <w:color w:val="auto"/>
              </w:rPr>
            </w:pPr>
          </w:p>
        </w:tc>
        <w:tc>
          <w:tcPr>
            <w:tcW w:w="138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right of use operating lease assets</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111,117</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91,962</w:t>
            </w:r>
          </w:p>
        </w:tc>
      </w:tr>
      <w:tr>
        <w:trPr>
          <w:trHeight w:val="229"/>
        </w:trPr>
        <w:tc>
          <w:tcPr>
            <w:tcW w:w="7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right of use financing lease assets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w:t>
            </w:r>
          </w:p>
        </w:tc>
      </w:tr>
      <w:tr>
        <w:trPr>
          <w:trHeight w:val="248"/>
        </w:trPr>
        <w:tc>
          <w:tcPr>
            <w:tcW w:w="75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assets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112,690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93,664</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7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operating lease obligation</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18,413</w:t>
            </w:r>
          </w:p>
        </w:tc>
      </w:tr>
      <w:tr>
        <w:trPr>
          <w:trHeight w:val="229"/>
        </w:trPr>
        <w:tc>
          <w:tcPr>
            <w:tcW w:w="7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financing lease obligation</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48"/>
        </w:trPr>
        <w:tc>
          <w:tcPr>
            <w:tcW w:w="75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lease obligation</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18,951</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7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operating lease obligation</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98,022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76,759</w:t>
            </w:r>
          </w:p>
        </w:tc>
      </w:tr>
      <w:tr>
        <w:trPr>
          <w:trHeight w:val="230"/>
        </w:trPr>
        <w:tc>
          <w:tcPr>
            <w:tcW w:w="7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financing lease obligation</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w:t>
            </w:r>
          </w:p>
        </w:tc>
      </w:tr>
      <w:tr>
        <w:trPr>
          <w:trHeight w:val="248"/>
        </w:trPr>
        <w:tc>
          <w:tcPr>
            <w:tcW w:w="75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long-term lease obligation</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98,821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77,758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value of lease liabilities related to our operating and finance leases and sublease income as of December 31, 2025 was as follows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Maturity Date of Lease Liabilities</w:t>
            </w:r>
          </w:p>
        </w:tc>
        <w:tc>
          <w:tcPr>
            <w:tcW w:w="180" w:type="dxa"/>
            <w:vAlign w:val="bottom"/>
          </w:tcPr>
          <w:p>
            <w:pPr>
              <w:spacing w:after="0"/>
              <w:rPr>
                <w:sz w:val="20"/>
                <w:szCs w:val="20"/>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80" w:type="dxa"/>
            <w:vAlign w:val="bottom"/>
          </w:tcPr>
          <w:p>
            <w:pPr>
              <w:spacing w:after="0"/>
              <w:rPr>
                <w:sz w:val="20"/>
                <w:szCs w:val="20"/>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Financing Leases</w:t>
            </w:r>
          </w:p>
        </w:tc>
        <w:tc>
          <w:tcPr>
            <w:tcW w:w="400" w:type="dxa"/>
            <w:vAlign w:val="bottom"/>
          </w:tcPr>
          <w:p>
            <w:pPr>
              <w:spacing w:after="0"/>
              <w:rPr>
                <w:sz w:val="20"/>
                <w:szCs w:val="20"/>
                <w:color w:val="auto"/>
              </w:rPr>
            </w:pPr>
          </w:p>
        </w:tc>
        <w:tc>
          <w:tcPr>
            <w:tcW w:w="14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20"/>
                <w:szCs w:val="20"/>
                <w:color w:val="auto"/>
              </w:rPr>
            </w:pPr>
          </w:p>
        </w:tc>
        <w:tc>
          <w:tcPr>
            <w:tcW w:w="16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Sublease Income</w:t>
            </w:r>
          </w:p>
        </w:tc>
      </w:tr>
      <w:tr>
        <w:trPr>
          <w:trHeight w:val="223"/>
        </w:trPr>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82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18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151,890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153,423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30"/>
        </w:trPr>
        <w:tc>
          <w:tcPr>
            <w:tcW w:w="3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8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118,052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6" w:name="page67"/>
    <w:bookmarkEnd w:id="66"/>
    <w:p>
      <w:pPr>
        <w:ind w:left="380"/>
        <w:spacing w:after="0"/>
        <w:rPr>
          <w:sz w:val="20"/>
          <w:szCs w:val="20"/>
          <w:color w:val="auto"/>
        </w:rPr>
      </w:pPr>
      <w:r>
        <w:rPr>
          <w:rFonts w:ascii="Times New Roman" w:cs="Times New Roman" w:eastAsia="Times New Roman" w:hAnsi="Times New Roman"/>
          <w:sz w:val="18"/>
          <w:szCs w:val="18"/>
          <w:color w:val="auto"/>
        </w:rPr>
        <w:t>The weighted average lease terms and interest rates of leases held as of December 31, 2025 and 2024 were as follows:</w:t>
      </w:r>
    </w:p>
    <w:p>
      <w:pPr>
        <w:spacing w:after="0" w:line="10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r>
      <w:tr>
        <w:trPr>
          <w:trHeight w:val="223"/>
        </w:trPr>
        <w:tc>
          <w:tcPr>
            <w:tcW w:w="3840" w:type="dxa"/>
            <w:vAlign w:val="bottom"/>
          </w:tcPr>
          <w:p>
            <w:pPr>
              <w:spacing w:after="0"/>
              <w:rPr>
                <w:sz w:val="19"/>
                <w:szCs w:val="19"/>
                <w:color w:val="auto"/>
              </w:rPr>
            </w:pPr>
          </w:p>
        </w:tc>
        <w:tc>
          <w:tcPr>
            <w:tcW w:w="21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jc w:val="right"/>
              <w:ind w:right="1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3840" w:type="dxa"/>
            <w:vAlign w:val="bottom"/>
          </w:tcPr>
          <w:p>
            <w:pPr>
              <w:spacing w:after="0"/>
              <w:rPr>
                <w:sz w:val="19"/>
                <w:szCs w:val="19"/>
                <w:color w:val="auto"/>
              </w:rPr>
            </w:pPr>
          </w:p>
        </w:tc>
        <w:tc>
          <w:tcPr>
            <w:tcW w:w="21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Operating Leases</w:t>
            </w:r>
          </w:p>
        </w:tc>
        <w:tc>
          <w:tcPr>
            <w:tcW w:w="15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00" w:type="dxa"/>
            <w:vAlign w:val="bottom"/>
          </w:tcPr>
          <w:p>
            <w:pPr>
              <w:spacing w:after="0"/>
              <w:rPr>
                <w:sz w:val="19"/>
                <w:szCs w:val="19"/>
                <w:color w:val="auto"/>
              </w:rPr>
            </w:pP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Operating Leases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Finance Leases</w:t>
            </w:r>
          </w:p>
        </w:tc>
      </w:tr>
      <w:tr>
        <w:trPr>
          <w:trHeight w:val="223"/>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 years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rPr>
              <w:t>3.2 years</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6.3 years</w:t>
            </w:r>
          </w:p>
        </w:tc>
        <w:tc>
          <w:tcPr>
            <w:tcW w:w="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3.7 years</w:t>
            </w:r>
          </w:p>
        </w:tc>
      </w:tr>
      <w:tr>
        <w:trPr>
          <w:trHeight w:val="234"/>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0"/>
                <w:szCs w:val="20"/>
                <w:color w:val="auto"/>
              </w:rPr>
            </w:pP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7.6%</w:t>
            </w:r>
          </w:p>
        </w:tc>
        <w:tc>
          <w:tcPr>
            <w:tcW w:w="204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rPr>
              <w:t>7.3%</w:t>
            </w:r>
          </w:p>
        </w:tc>
      </w:tr>
    </w:tbl>
    <w:p>
      <w:pPr>
        <w:spacing w:after="0" w:line="3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cash outflows of leasing activity for the years ended December 31, 2025, 2024 and 2023 were as follows (in thousands):</w:t>
      </w:r>
    </w:p>
    <w:p>
      <w:pPr>
        <w:spacing w:after="0" w:line="10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r>
      <w:tr>
        <w:trPr>
          <w:trHeight w:val="22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Source</w:t>
            </w:r>
          </w:p>
        </w:tc>
        <w:tc>
          <w:tcPr>
            <w:tcW w:w="212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360" w:type="dxa"/>
            <w:vAlign w:val="bottom"/>
          </w:tcPr>
          <w:p>
            <w:pPr>
              <w:spacing w:after="0"/>
              <w:rPr>
                <w:sz w:val="19"/>
                <w:szCs w:val="19"/>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8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(21,980)</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(15,516)</w:t>
            </w:r>
          </w:p>
        </w:tc>
      </w:tr>
      <w:tr>
        <w:trPr>
          <w:trHeight w:val="22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cash flows from financing leases</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cash flows from financing leases</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r>
    </w:tbl>
    <w:p>
      <w:pPr>
        <w:spacing w:after="0" w:line="3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Refer to Note 4 – Revenue Recognition for a discussion on the Company’s activities as lessor.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Earnout Liabilities</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Hisco Acquisition</w:t>
      </w:r>
    </w:p>
    <w:p>
      <w:pPr>
        <w:spacing w:after="0" w:line="256" w:lineRule="exact"/>
        <w:rPr>
          <w:sz w:val="20"/>
          <w:szCs w:val="20"/>
          <w:color w:val="auto"/>
        </w:rPr>
      </w:pPr>
    </w:p>
    <w:p>
      <w:pPr>
        <w:jc w:val="both"/>
        <w:ind w:left="40" w:firstLine="324"/>
        <w:spacing w:after="0" w:line="255" w:lineRule="auto"/>
        <w:rPr>
          <w:sz w:val="20"/>
          <w:szCs w:val="20"/>
          <w:color w:val="auto"/>
        </w:rPr>
      </w:pPr>
      <w:r>
        <w:rPr>
          <w:rFonts w:ascii="Times New Roman" w:cs="Times New Roman" w:eastAsia="Times New Roman" w:hAnsi="Times New Roman"/>
          <w:sz w:val="18"/>
          <w:szCs w:val="18"/>
          <w:color w:val="auto"/>
        </w:rPr>
        <w:t>The Hisco Transaction included a potential earn-out payment of up to $12.6 million, subject to Hisco achieving certain performance targets. The earn-out payment was to be calculated based on the gross profit of Hisco and its affiliates for the twelve months ended October 31, 2023, subject to certain adjustments and exclusions set forth in the Hisco Purchase Agreement. The fair value of the contingent consideration arrangement was classified as a Level 3 instrument and was determined using a probability-based scenario analysis approach. As of June 8, 2023 (the Hisco Transaction date), December 31, 2023, December 31, 2024 and December 31, 2025, the fair value of the earn-out was $0.1 million, $0.0 million, $0.0 million and $0.0 million, respectively, with amounts recorded in Accrued expenses and other current liabilities in the Consolidated Balance Sheets. As the performance targets were not achieved, no earn-out payment was made.</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Frontier Acquisition</w:t>
      </w:r>
    </w:p>
    <w:p>
      <w:pPr>
        <w:spacing w:after="0" w:line="256" w:lineRule="exact"/>
        <w:rPr>
          <w:sz w:val="20"/>
          <w:szCs w:val="20"/>
          <w:color w:val="auto"/>
        </w:rPr>
      </w:pPr>
    </w:p>
    <w:p>
      <w:pPr>
        <w:jc w:val="both"/>
        <w:ind w:left="40" w:firstLine="324"/>
        <w:spacing w:after="0" w:line="253" w:lineRule="auto"/>
        <w:rPr>
          <w:sz w:val="20"/>
          <w:szCs w:val="20"/>
          <w:color w:val="auto"/>
        </w:rPr>
      </w:pPr>
      <w:r>
        <w:rPr>
          <w:rFonts w:ascii="Times New Roman" w:cs="Times New Roman" w:eastAsia="Times New Roman" w:hAnsi="Times New Roman"/>
          <w:sz w:val="18"/>
          <w:szCs w:val="18"/>
          <w:color w:val="auto"/>
        </w:rPr>
        <w:t>On March 31, 2022, Gexpro Services acquired Frontier Technologies Brewton, LLC and Frontier Engineering and Manufacturing Technologies, Inc. (“Frontier”). The consideration for the Frontier acquisition included a potential earn-out payment of up to $3.0 million based upon the achievement of certain milestones and relative thresholds during the earn out measurement period, which ended on December 31, 2024, with payments made annually beginning in 2023 and ending in 2025. During the first quarter of 2025, a $2.0 million earn-out payment was made based on the achievement of certain milestones in 2024 and cumulatively during the earn-out period. No earn-out payment was made in 2024 based on certain milestones not met in 2023. During the first quarter of 2023, a $1.0 million earn-out payment was made based on the achievement of certain milestones in 2022. No additional earn-out payments will be made subsequent to the first quarter of 2025. The fair value of the contingent consideration arrangement was classified as a Level 3 instrument and was determined using a probability-based scenario analysis approach. As of March 31, 2022 (the Frontier acquisition date), December 31, 2022, 2023, 2024 and 2025, the fair value of the earn-out was $0.9 million, $1.7 million, $0.0 million, $1.0 million and $0.0 million, respectively, with amounts recorded in Accrued expenses and other current liabilities in the Consolidated Balance Sheets. The Company recorded expense of $1.0 million, expense of $1.0 million and income of $0.7 million for changes in the fair value of the earn-out liability for the years ended December 31, 2025, 2024 and 2023, respectively, as a component of Change in fair value of earnout liabilities in the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227330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280" w:top="109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Debt</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outstanding long-term debt was comprised of the following:</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tcBorders>
              <w:bottom w:val="single" w:sz="8" w:color="auto"/>
            </w:tcBorders>
          </w:tcPr>
          <w:p>
            <w:pPr>
              <w:spacing w:after="0"/>
              <w:rPr>
                <w:sz w:val="20"/>
                <w:szCs w:val="20"/>
                <w:color w:val="auto"/>
              </w:rPr>
            </w:pPr>
          </w:p>
        </w:tc>
      </w:tr>
      <w:tr>
        <w:trPr>
          <w:trHeight w:val="223"/>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revolving credit facility</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term loan</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215,625</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delayed draw term loan</w:t>
            </w:r>
          </w:p>
        </w:tc>
        <w:tc>
          <w:tcPr>
            <w:tcW w:w="4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44,375</w:t>
            </w: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Incremental term loans</w:t>
            </w:r>
          </w:p>
        </w:tc>
        <w:tc>
          <w:tcPr>
            <w:tcW w:w="40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479,625</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revolving line of credit</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23"/>
        </w:trPr>
        <w:tc>
          <w:tcPr>
            <w:tcW w:w="7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debt</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704,418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739,851</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(40,476)</w:t>
            </w:r>
          </w:p>
        </w:tc>
      </w:tr>
      <w:tr>
        <w:trPr>
          <w:trHeight w:val="229"/>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deferred financing costs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(5,472)</w:t>
            </w:r>
          </w:p>
        </w:tc>
      </w:tr>
      <w:tr>
        <w:trPr>
          <w:trHeight w:val="248"/>
        </w:trPr>
        <w:tc>
          <w:tcPr>
            <w:tcW w:w="7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long-term debt</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664,196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693,903</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December 18, 2025, the Company entered into the Second Amended and Restated Credit Agreement (the “Amended Credit Agreement”), which amended and restated the Amended and Restated Credit Agreement, dated as of April 1, 2022 (as it had been amended from time to time prior to the date of the Amended Credit Agreement, the “Original Credit Agreement”), by and among the Company, certain subsidiaries of the Company as borrowers or guarantors, the lenders party thereto and JPMorgan Chase Bank, N.A., as administrative agent.</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amended, the Amended Credit Agreement provides for (i) a $400 million senior secured revolving credit facility, with a $25 million letter of credit sub-facility and a $10 million swingline loan sub-facility, (ii) a $700 million senior secured initial term loan facility and (iii) the Company to increase the commitments thereunder from time to time by up to $500 million in the aggregate, subject to, among other things, the receipt of additional commitments from existing and/or new lenders and pro forma compliance with certain financial covenants.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Amended Credit Agreement requires that the proceeds of any revolving credit facility loans be used for working capital and general corporate purposes (including, without limitation, permitted acquisitions). The Company used the proceeds from the initial term loan to repay the previous $709 million outstanding under the Original Credit Agreement.</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unused outstanding letters of credit of $2.3 million as of December 31, 2025. Net of these letters of credit, there was $393.7 million of borrowing availability under the revolving credit facility as of December 31, 2025.</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loans under the Amended Credit Agreement bear interest, at the Company’s option, at a rate equal to (i) the Alternate Base Rate or the Canadian Prime Rate (each as defined in the Amended Credit Agreement), plus, in each case, an additional margin ranging from 0.00% to 1.75% per annum, depending on the total net leverage ratio of the Company and its restricted subsidiaries as of the most recent determination date under the Amended Credit Agreement or (ii) the Adjusted Term SOFR Rate or Adjusted Daily Simple SOFR (as defined in the Amended Credit Agreement), plus an additional margin ranging from 1.00% to 2.75% per annum, depending on the total net leverage ratio of the Company and its restricted subsidiaries as of the most recent determination date under the Amended Credit Agreement. The Amended Credit Agreement further provides that the additional margin for the period from the Effective Date (as defined in the Amended Credit Agreement) until delivery of the Company’s financial statements and compliance certificate for the first full quarter ending after the Effective Date shall be 1.50% per annum for Alternate Base Rate or Canadian Prime Rate loans and 2.50% per annum for all other loans. The effective interest rate on the senior secured revolving credit facility was 8.87% in 2025. The average effective interest rate on the term loan facilities prior to the December 18, 2025 refinancing was 6.86% in 2025. The effective interest rate on the senior secured initial term loan facility subsequent to the December 18, 2025 refinancing was 6.56% in 2025.</w:t>
      </w:r>
    </w:p>
    <w:p>
      <w:pPr>
        <w:spacing w:after="0" w:line="2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Amended Credit Agreement requires the Company to pay certain closing fees, arrangement fees, administration fees, commitment fees and letter of credit fees, including a commitment fee on the daily unused amount of the revolving credit facility that will accrue at a rate ranging from 0.15% to 0.35% per annum, depending on the total net leverage ratio of the Company. These fees are reported as a component of Interest expense in the Consolidated Statements of Operations and</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Comprehensive Income (Loss) and vary depending on the total net leverage ratio as defined in the Amended Credit Agreement. Fees were nominal in 2025, 2024 and 2023.</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2025, the Company capitalized $4.6 million of deferred financing costs and expensed $3.1 million of legal fees and other third-party costs in accordance with the application of modification accounting within Selling, general and administrative expenses in the Consolidated Statements of Operations and Comprehensive Income (Loss) in connection with the Amended Credit Agreement. Deferred financing costs are amortized over the life of the debt instrument and reported as a component of Interest expense in the Consolidated Statements of Operations and Comprehensive Income (Loss). Amortization of deferred financing costs was $3.2 million, $2.9 million, and $2.4 million for 2025, 2024 and 2023, respectively. As of December 31, 2025, total deferred financing costs net of accumulated amortization were $8.7 million of which $4.7 million are included in Long-term debt, less current portion, net (related to the senior secured term loan) and $4.0 million are included in Other assets (related to the senior secured revolving credit facility) in the Consolidated Balance Sheets.</w:t>
      </w:r>
    </w:p>
    <w:p>
      <w:pPr>
        <w:spacing w:after="0" w:line="2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Each of the loans under the Amended Credit Agreement mature on December 18, 2030, at which time all outstanding loans, together with all accrued and unpaid interest, must be repaid and the revolving credit facility commitments will terminate. Future maturities of long-term debt are $35.0 million per year payable in equal quarterly installments during 2026, 2027, 2028 and 2029, with the remaining balance of $563.9 million due in 2030 upon maturity. The Company is also required to prepay the term loans with the net cash proceeds from any disposition of certain assets (subject to reinvestment rights) or from the incurrence of any unpermitted debt. The Company may borrow, repay and reborrow the revolving loans until December 18, 2030, prepay any of the term loans, and terminate any of the commitments, in whole or in part, at any time without premium or penalty, subject to certain conditions and the reimbursement of certain lender costs in the case of prepayments of certain types of loans.</w:t>
      </w:r>
    </w:p>
    <w:p>
      <w:pPr>
        <w:spacing w:after="0" w:line="21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Subject to certain exceptions as set forth in the Amended Credit Agreement, the obligations of the Company and its U.S. subsidiaries under the Amended Credit Agreement are guaranteed by the Company and certain of the Company’s U.S. subsidiaries and the obligations of each of the Company’s Canadian subsidiaries under the Amended Credit Agreement are guaranteed by the Company and certain of its U.S. and Canadian subsidiaries.</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Subject to certain exceptions as set forth in the Amended Credit Agreement, the obligations under the Amended Credit Agreement are secured by a first priority security interest in and lien on substantially all assets of the Company, each other borrower and each guarantor.</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Amended Credit Agreement contains various covenants, including financial maintenance covenants requiring the Company to maintain compliance with a consolidated minimum interest coverage ratio and a maximum total net leverage ratio, each determined in accordance with the terms of the Amended Credit Agreement. The Amended Credit Agreement contains various events of default (subject to exceptions, thresholds and grace periods as set forth in the Amended Credit Agreement). Under certain circumstances, a default interest rate will apply on all obligations at a rate equal to 2.0% per annum above the applicable interest rate. The Company was in compliance with all financial covenants as of December 31,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Stock-Based Compensation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17, 2022, the Board of Directors approved and adopted the Distribution Solutions Group, Inc. Equity Compensation Plan, as amended and restated, effective October 17, 2022, and as amended November 10, 2022 (the “Amended and Restated Equity Plan”). The Amended and Restated Equity Plan provides for the grant of nonqualified and incentive stock options, stock awards and stock units to officers and employees of the Company. The Amended and Restated Equity Plan also provides for the grant of option rights and restricted stock to non-employee directors. Non-employee directors are limited to grants of no more than 60,000 shares of common stock in any calendar year and other than non-employee directors are limited to grants of no more than 500,000 shares of common stock in any calendar year. The Amended and Restated Equity Plan is administered by the Compensation Committee of the Board of Directors, or its designee, which as administrator of the plan, has the authority to select plan participants, grant awards, and determine the terms and conditions of the awards. As of December 31, 2025, the Company had approximately 141,000 shares of common stock still available under the Amended and Restated Equity Plan.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also has a Stock Performance Rights Plan (“SPR Plan”) that provides for the issuance of Stock Performance Rights (“SPRs”) that allow non-employee directors, officers and key employees to receive cash awards, subject to certain restrictions, equal to the appreciation of DSG common stock. The SPR Plan is administered by the Compensation Committee of the Board of Directors.</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Stock-based compensation expense, which is included in Selling, general and administrative expenses in the Consolidated Statements of Operations and Comprehensive Income (Loss),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r>
      <w:tr>
        <w:trPr>
          <w:trHeight w:val="223"/>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w w:val="98"/>
              </w:rPr>
              <w:t>5,233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7,940</w:t>
            </w:r>
          </w:p>
        </w:tc>
      </w:tr>
      <w:tr>
        <w:trPr>
          <w:trHeight w:val="230"/>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Related income tax benefit</w:t>
            </w: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left="910"/>
              <w:spacing w:after="0"/>
              <w:rPr>
                <w:sz w:val="20"/>
                <w:szCs w:val="20"/>
                <w:color w:val="auto"/>
              </w:rPr>
            </w:pPr>
            <w:r>
              <w:rPr>
                <w:rFonts w:ascii="Times New Roman" w:cs="Times New Roman" w:eastAsia="Times New Roman" w:hAnsi="Times New Roman"/>
                <w:sz w:val="18"/>
                <w:szCs w:val="18"/>
                <w:color w:val="auto"/>
                <w:w w:val="98"/>
              </w:rPr>
              <w:t>(1,108)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w:t>
            </w: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 net of tax</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w w:val="98"/>
              </w:rPr>
              <w:t>4,125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7,077</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 Company’s SPRs are liability-classified. Accordingly, changes in the market value of DSG common stock may result in stock-based compensation expense or benefit in certain periods. A stock-based compensation liability of $0.3 million as of December 31, 2025 and $2.0 million as of December 31, 2024 is included as a component of Accrued expenses and other current liabilities in the Consolidated Balance Sheets reflecting the estimated fair value of future pay-outs.</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Stock Options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Stock options generally vest through the fifth anniversary from the grant date. Each stock option can be exchanged for one share of DSG common stock at the stated exercise price. Upon vesting, stock options are recognized as a component of equity. Activity related to the Company’s stock options</w:t>
      </w:r>
    </w:p>
    <w:tbl>
      <w:tblPr>
        <w:tblLayout w:type="fixed"/>
        <w:tblInd w:w="0" w:type="dxa"/>
        <w:tblCellMar>
          <w:top w:w="0" w:type="dxa"/>
          <w:left w:w="0" w:type="dxa"/>
          <w:bottom w:w="0" w:type="dxa"/>
          <w:right w:w="0" w:type="dxa"/>
        </w:tblCellMar>
      </w:tblP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during the year ended December 31, 2025 was as follows:</w:t>
            </w: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75"/>
        </w:trPr>
        <w:tc>
          <w:tcPr>
            <w:tcW w:w="4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Number of Stock</w:t>
            </w:r>
          </w:p>
        </w:tc>
        <w:tc>
          <w:tcPr>
            <w:tcW w:w="140" w:type="dxa"/>
            <w:vAlign w:val="bottom"/>
          </w:tcPr>
          <w:p>
            <w:pPr>
              <w:spacing w:after="0"/>
              <w:rPr>
                <w:sz w:val="15"/>
                <w:szCs w:val="15"/>
                <w:color w:val="auto"/>
              </w:rPr>
            </w:pPr>
          </w:p>
        </w:tc>
        <w:tc>
          <w:tcPr>
            <w:tcW w:w="160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80" w:type="dxa"/>
            <w:vAlign w:val="bottom"/>
          </w:tcPr>
          <w:p>
            <w:pPr>
              <w:spacing w:after="0"/>
              <w:rPr>
                <w:sz w:val="15"/>
                <w:szCs w:val="15"/>
                <w:color w:val="auto"/>
              </w:rPr>
            </w:pPr>
          </w:p>
        </w:tc>
        <w:tc>
          <w:tcPr>
            <w:tcW w:w="174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Contractual Term (in</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9"/>
        </w:trPr>
        <w:tc>
          <w:tcPr>
            <w:tcW w:w="4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0" w:type="dxa"/>
            <w:vAlign w:val="bottom"/>
          </w:tcPr>
          <w:p>
            <w:pPr>
              <w:spacing w:after="0"/>
              <w:rPr>
                <w:sz w:val="19"/>
                <w:szCs w:val="19"/>
                <w:color w:val="auto"/>
              </w:rPr>
            </w:pPr>
          </w:p>
        </w:tc>
        <w:tc>
          <w:tcPr>
            <w:tcW w:w="16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80" w:type="dxa"/>
            <w:vAlign w:val="bottom"/>
          </w:tcPr>
          <w:p>
            <w:pPr>
              <w:spacing w:after="0"/>
              <w:rPr>
                <w:sz w:val="19"/>
                <w:szCs w:val="19"/>
                <w:color w:val="auto"/>
              </w:rPr>
            </w:pP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on December 31, 2024</w:t>
            </w:r>
          </w:p>
        </w:tc>
        <w:tc>
          <w:tcPr>
            <w:tcW w:w="1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2,128,475</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40.43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Cancelled</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(204,226)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37.65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on December 31, 2025</w:t>
            </w:r>
          </w:p>
        </w:tc>
        <w:tc>
          <w:tcPr>
            <w:tcW w:w="1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2,314,939</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42.38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on December 31, 2025</w:t>
            </w: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1,073,061</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9"/>
        </w:trPr>
        <w:tc>
          <w:tcPr>
            <w:tcW w:w="58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Details related to the Company’s stock options were as follows:</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640" w:type="dxa"/>
            <w:vAlign w:val="bottom"/>
            <w:tcBorders>
              <w:bottom w:val="single" w:sz="8" w:color="auto"/>
            </w:tcBorders>
            <w:gridSpan w:val="10"/>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 thousands, except share and per share data)</w:t>
            </w:r>
          </w:p>
        </w:tc>
        <w:tc>
          <w:tcPr>
            <w:tcW w:w="148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exercise price per share granted</w:t>
            </w:r>
          </w:p>
        </w:tc>
        <w:tc>
          <w:tcPr>
            <w:tcW w:w="14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0" w:type="dxa"/>
            <w:vAlign w:val="bottom"/>
          </w:tcPr>
          <w:p>
            <w:pPr>
              <w:spacing w:after="0"/>
              <w:rPr>
                <w:sz w:val="1"/>
                <w:szCs w:val="1"/>
                <w:color w:val="auto"/>
              </w:rPr>
            </w:pPr>
          </w:p>
        </w:tc>
      </w:tr>
      <w:tr>
        <w:trPr>
          <w:trHeight w:val="23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Intrinsic value - exercised</w:t>
            </w:r>
          </w:p>
        </w:tc>
        <w:tc>
          <w:tcPr>
            <w:tcW w:w="1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60" w:type="dxa"/>
            <w:vAlign w:val="bottom"/>
          </w:tcPr>
          <w:p>
            <w:pPr>
              <w:spacing w:after="0"/>
              <w:rPr>
                <w:sz w:val="19"/>
                <w:szCs w:val="19"/>
                <w:color w:val="auto"/>
              </w:rPr>
            </w:pP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received from options exercised</w:t>
            </w:r>
          </w:p>
        </w:tc>
        <w:tc>
          <w:tcPr>
            <w:tcW w:w="1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6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80"/>
        </w:trPr>
        <w:tc>
          <w:tcPr>
            <w:tcW w:w="4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 thousands, except share and per share data)</w:t>
            </w:r>
          </w:p>
        </w:tc>
        <w:tc>
          <w:tcPr>
            <w:tcW w:w="14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23"/>
        </w:trPr>
        <w:tc>
          <w:tcPr>
            <w:tcW w:w="420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Unrecognized compensation cost</w:t>
            </w:r>
            <w:r>
              <w:rPr>
                <w:rFonts w:ascii="Times New Roman" w:cs="Times New Roman" w:eastAsia="Times New Roman" w:hAnsi="Times New Roman"/>
                <w:sz w:val="23"/>
                <w:szCs w:val="23"/>
                <w:color w:val="auto"/>
                <w:vertAlign w:val="superscript"/>
              </w:rPr>
              <w:t>(1)</w:t>
            </w:r>
          </w:p>
        </w:tc>
        <w:tc>
          <w:tcPr>
            <w:tcW w:w="1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12,429</w:t>
            </w:r>
          </w:p>
        </w:tc>
        <w:tc>
          <w:tcPr>
            <w:tcW w:w="0" w:type="dxa"/>
            <w:vAlign w:val="bottom"/>
          </w:tcPr>
          <w:p>
            <w:pPr>
              <w:spacing w:after="0"/>
              <w:rPr>
                <w:sz w:val="1"/>
                <w:szCs w:val="1"/>
                <w:color w:val="auto"/>
              </w:rPr>
            </w:pPr>
          </w:p>
        </w:tc>
      </w:tr>
      <w:tr>
        <w:trPr>
          <w:trHeight w:val="234"/>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Unvested number of stock options</w:t>
            </w: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1,241,878</w:t>
            </w:r>
          </w:p>
        </w:tc>
        <w:tc>
          <w:tcPr>
            <w:tcW w:w="0" w:type="dxa"/>
            <w:vAlign w:val="bottom"/>
          </w:tcPr>
          <w:p>
            <w:pPr>
              <w:spacing w:after="0"/>
              <w:rPr>
                <w:sz w:val="1"/>
                <w:szCs w:val="1"/>
                <w:color w:val="auto"/>
              </w:rPr>
            </w:pPr>
          </w:p>
        </w:tc>
      </w:tr>
    </w:tbl>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Expected to be recognized over a weighted-average period of 2.3 years</w:t>
      </w:r>
    </w:p>
    <w:p>
      <w:pPr>
        <w:spacing w:after="0" w:line="29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grant date fair value of the stock options issued was estimated using a Black-Scholes valuation model. The weighted average fair value assumptions used in the model were as follows: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4800" w:type="dxa"/>
            <w:vAlign w:val="bottom"/>
            <w:tcBorders>
              <w:bottom w:val="single" w:sz="8" w:color="CCEEFF"/>
            </w:tcBorders>
          </w:tcPr>
          <w:p>
            <w:pPr>
              <w:spacing w:after="0"/>
              <w:rPr>
                <w:sz w:val="19"/>
                <w:szCs w:val="19"/>
                <w:color w:val="auto"/>
              </w:rPr>
            </w:pPr>
          </w:p>
        </w:tc>
        <w:tc>
          <w:tcPr>
            <w:tcW w:w="2080" w:type="dxa"/>
            <w:vAlign w:val="bottom"/>
            <w:tcBorders>
              <w:bottom w:val="single" w:sz="8" w:color="auto"/>
            </w:tcBorders>
            <w:gridSpan w:val="2"/>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080" w:type="dxa"/>
            <w:vAlign w:val="bottom"/>
            <w:tcBorders>
              <w:bottom w:val="single" w:sz="8" w:color="auto"/>
            </w:tcBorders>
            <w:gridSpan w:val="2"/>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2100" w:type="dxa"/>
            <w:vAlign w:val="bottom"/>
            <w:tcBorders>
              <w:bottom w:val="single" w:sz="8" w:color="auto"/>
            </w:tcBorders>
            <w:gridSpan w:val="2"/>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 to</w:t>
            </w: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 to</w:t>
            </w: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45.6%</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 to</w:t>
            </w: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45.6%</w:t>
            </w:r>
          </w:p>
        </w:tc>
      </w:tr>
      <w:tr>
        <w:trPr>
          <w:trHeight w:val="23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 of return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to</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to</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to</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18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5.8 years</w:t>
            </w:r>
          </w:p>
        </w:tc>
        <w:tc>
          <w:tcPr>
            <w:tcW w:w="216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6.5 years</w:t>
            </w:r>
          </w:p>
        </w:tc>
        <w:tc>
          <w:tcPr>
            <w:tcW w:w="2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6.2 years</w:t>
            </w:r>
          </w:p>
        </w:tc>
      </w:tr>
      <w:tr>
        <w:trPr>
          <w:trHeight w:val="23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annual dividend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tcPr>
          <w:p>
            <w:pPr>
              <w:spacing w:after="0"/>
              <w:rPr>
                <w:sz w:val="20"/>
                <w:szCs w:val="20"/>
                <w:color w:val="auto"/>
              </w:rPr>
            </w:pPr>
          </w:p>
        </w:tc>
      </w:tr>
    </w:tbl>
    <w:p>
      <w:pPr>
        <w:spacing w:after="0" w:line="31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expected volatility was based on the historic volatility of the Company’s stock price commensurate with the expected life of the stock options. The risk-free rate of return reflects the interest rate offered for zero coupon treasury bonds over the expected life of the stock options. The expected life represents the period of time that options granted are expected to be outstanding and was calculated using the simplified method allowed by the SEC, which approximates our historical experience. The estimated annual dividend was based on the recent dividend payout trend.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 Units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Restricted stock units (“RSUs”) generally vest over a one to five year period beginning on the first anniversary of the date of the grant. Upon vesting, the vested RSUs are exchanged for an equal number of shares of DSG common stock. The participants have no voting or dividend rights with the RSUs. The RSUs are valued at the closing price of DSG common stock on the date of grant and the expense is recorded ratably over the vesting period.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Activity related to the Company’s RSUs during the year ended December 31, 2025 was as follows: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6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0" w:type="dxa"/>
            <w:vAlign w:val="bottom"/>
            <w:gridSpan w:val="6"/>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 Average Grant</w:t>
            </w:r>
          </w:p>
        </w:tc>
        <w:tc>
          <w:tcPr>
            <w:tcW w:w="0" w:type="dxa"/>
            <w:vAlign w:val="bottom"/>
          </w:tcPr>
          <w:p>
            <w:pPr>
              <w:spacing w:after="0"/>
              <w:rPr>
                <w:sz w:val="1"/>
                <w:szCs w:val="1"/>
                <w:color w:val="auto"/>
              </w:rPr>
            </w:pPr>
          </w:p>
        </w:tc>
      </w:tr>
      <w:tr>
        <w:trPr>
          <w:trHeight w:val="238"/>
        </w:trPr>
        <w:tc>
          <w:tcPr>
            <w:tcW w:w="608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2000" w:type="dxa"/>
            <w:vAlign w:val="bottom"/>
            <w:tcBorders>
              <w:bottom w:val="single" w:sz="8" w:color="auto"/>
            </w:tcBorders>
            <w:gridSpan w:val="6"/>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on December 31, 2024</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162,149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0" w:type="dxa"/>
            <w:vAlign w:val="bottom"/>
          </w:tcPr>
          <w:p>
            <w:pPr>
              <w:spacing w:after="0"/>
              <w:rPr>
                <w:sz w:val="1"/>
                <w:szCs w:val="1"/>
                <w:color w:val="auto"/>
              </w:rPr>
            </w:pPr>
          </w:p>
        </w:tc>
      </w:tr>
      <w:tr>
        <w:trPr>
          <w:trHeight w:val="230"/>
        </w:trPr>
        <w:tc>
          <w:tcPr>
            <w:tcW w:w="6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319,570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Cancelled</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Exchanged for common shares</w:t>
            </w:r>
          </w:p>
        </w:tc>
        <w:tc>
          <w:tcPr>
            <w:tcW w:w="10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w w:val="97"/>
              </w:rPr>
              <w:t>(75,408)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0" w:type="dxa"/>
            <w:vAlign w:val="bottom"/>
          </w:tcPr>
          <w:p>
            <w:pPr>
              <w:spacing w:after="0"/>
              <w:rPr>
                <w:sz w:val="1"/>
                <w:szCs w:val="1"/>
                <w:color w:val="auto"/>
              </w:rPr>
            </w:pPr>
          </w:p>
        </w:tc>
      </w:tr>
      <w:tr>
        <w:trPr>
          <w:trHeight w:val="24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on December 31, 2025</w:t>
            </w:r>
          </w:p>
        </w:tc>
        <w:tc>
          <w:tcPr>
            <w:tcW w:w="10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406,311</w:t>
            </w:r>
          </w:p>
        </w:tc>
        <w:tc>
          <w:tcPr>
            <w:tcW w:w="2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Details related to the Company’s RSUs were as follows:</w:t>
            </w:r>
          </w:p>
        </w:tc>
        <w:tc>
          <w:tcPr>
            <w:tcW w:w="10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1"/>
        </w:trPr>
        <w:tc>
          <w:tcPr>
            <w:tcW w:w="60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08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gridSpan w:val="11"/>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 except share and per share data)</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per share</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3"/>
              </w:rPr>
              <w:t>28.94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0" w:type="dxa"/>
            <w:vAlign w:val="bottom"/>
          </w:tcPr>
          <w:p>
            <w:pPr>
              <w:spacing w:after="0"/>
              <w:rPr>
                <w:sz w:val="1"/>
                <w:szCs w:val="1"/>
                <w:color w:val="auto"/>
              </w:rPr>
            </w:pPr>
          </w:p>
        </w:tc>
      </w:tr>
      <w:tr>
        <w:trPr>
          <w:trHeight w:val="234"/>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RSUs exchanged for shares of DSG common stock</w:t>
            </w: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3"/>
              </w:rPr>
              <w:t>2,153</w:t>
            </w:r>
          </w:p>
        </w:tc>
        <w:tc>
          <w:tcPr>
            <w:tcW w:w="54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5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0" w:type="dxa"/>
            <w:vAlign w:val="bottom"/>
          </w:tcPr>
          <w:p>
            <w:pPr>
              <w:spacing w:after="0"/>
              <w:rPr>
                <w:sz w:val="1"/>
                <w:szCs w:val="1"/>
                <w:color w:val="auto"/>
              </w:rPr>
            </w:pPr>
          </w:p>
        </w:tc>
      </w:tr>
      <w:tr>
        <w:trPr>
          <w:trHeight w:val="589"/>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02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Unrecognized compensation cost</w:t>
            </w:r>
            <w:r>
              <w:rPr>
                <w:rFonts w:ascii="Times New Roman" w:cs="Times New Roman" w:eastAsia="Times New Roman" w:hAnsi="Times New Roman"/>
                <w:sz w:val="23"/>
                <w:szCs w:val="23"/>
                <w:color w:val="auto"/>
                <w:vertAlign w:val="superscript"/>
              </w:rPr>
              <w:t>(1)</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9,289</w:t>
            </w:r>
          </w:p>
        </w:tc>
        <w:tc>
          <w:tcPr>
            <w:tcW w:w="0" w:type="dxa"/>
            <w:vAlign w:val="bottom"/>
          </w:tcPr>
          <w:p>
            <w:pPr>
              <w:spacing w:after="0"/>
              <w:rPr>
                <w:sz w:val="1"/>
                <w:szCs w:val="1"/>
                <w:color w:val="auto"/>
              </w:rPr>
            </w:pPr>
          </w:p>
        </w:tc>
      </w:tr>
      <w:tr>
        <w:trPr>
          <w:trHeight w:val="169"/>
        </w:trPr>
        <w:tc>
          <w:tcPr>
            <w:tcW w:w="6080" w:type="dxa"/>
            <w:vAlign w:val="bottom"/>
          </w:tcPr>
          <w:p>
            <w:pPr>
              <w:spacing w:after="0"/>
              <w:rPr>
                <w:sz w:val="20"/>
                <w:szCs w:val="20"/>
                <w:color w:val="auto"/>
              </w:rPr>
            </w:pPr>
            <w:r>
              <w:rPr>
                <w:rFonts w:ascii="Times New Roman" w:cs="Times New Roman" w:eastAsia="Times New Roman" w:hAnsi="Times New Roman"/>
                <w:sz w:val="12"/>
                <w:szCs w:val="12"/>
                <w:color w:val="auto"/>
              </w:rPr>
              <w:t>(1) Expected to be recognized over a weighted-average period of 1.9 years</w:t>
            </w: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Stock Performance Rights</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SPRs entitle the recipient to receive a cash payment equal to the excess of the market value of DSG common stock over the SPR exercise price when the SPRs are surrendered. Expense, equal to the fair market value of the SPR at the date of grant and remeasured each reporting period, is recorded ratably over the vesting period. Compensation expense is included in Selling, general and administrative expense in the Consolidated Statements of Operations and Comprehensive Income (Loss). The outstanding SPRs were granted with approximately a seven-year life and generally vest over one to three years beginning on the first anniversary of the date of the grant. The SPRs are liability classified and included in Accrued expenses and other current liabilities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the outstanding SPRs was estimated using a Black-Scholes valuation model. This model requires the input of subjective assumptions that may have a significant impact on the fair value estimate. The weighted-average fair value of SPRs outstanding as of December 31, 2025, 2024 and 2023 was $15.51, $20.80 and $18.37 per SPR, respectively. The weighted average fair value assumptions used in the model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4820" w:type="dxa"/>
            <w:vAlign w:val="bottom"/>
            <w:tcBorders>
              <w:bottom w:val="single" w:sz="8" w:color="CCEEFF"/>
            </w:tcBorders>
          </w:tcPr>
          <w:p>
            <w:pPr>
              <w:spacing w:after="0"/>
              <w:rPr>
                <w:sz w:val="19"/>
                <w:szCs w:val="19"/>
                <w:color w:val="auto"/>
              </w:rPr>
            </w:pPr>
          </w:p>
        </w:tc>
        <w:tc>
          <w:tcPr>
            <w:tcW w:w="2080" w:type="dxa"/>
            <w:vAlign w:val="bottom"/>
            <w:tcBorders>
              <w:bottom w:val="single" w:sz="8" w:color="auto"/>
            </w:tcBorders>
            <w:gridSpan w:val="2"/>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2080" w:type="dxa"/>
            <w:vAlign w:val="bottom"/>
            <w:tcBorders>
              <w:bottom w:val="single" w:sz="8" w:color="auto"/>
            </w:tcBorders>
            <w:gridSpan w:val="2"/>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2100" w:type="dxa"/>
            <w:vAlign w:val="bottom"/>
            <w:tcBorders>
              <w:bottom w:val="single" w:sz="8" w:color="auto"/>
            </w:tcBorders>
            <w:gridSpan w:val="2"/>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 to</w:t>
            </w: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 to</w:t>
            </w: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 to</w:t>
            </w: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45.9%</w:t>
            </w: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 of return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to</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to</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to</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to</w:t>
            </w: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to</w:t>
            </w: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to</w:t>
            </w: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annual dividend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tcPr>
          <w:p>
            <w:pPr>
              <w:spacing w:after="0"/>
              <w:rPr>
                <w:sz w:val="20"/>
                <w:szCs w:val="20"/>
                <w:color w:val="auto"/>
              </w:rPr>
            </w:pPr>
          </w:p>
        </w:tc>
      </w:tr>
    </w:tbl>
    <w:p>
      <w:pPr>
        <w:spacing w:after="0" w:line="31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expected volatility was based on the historic volatility of the Company’s stock price commensurate with the expected life of the SPR. The risk-free rate of return reflects the interest rate offered for zero coupon treasury bonds over the expected life of the SPR. The expected life represents the period of time that options granted are expected to be outstanding and was calculated using the simplified method allowed by the SEC, which approximates our historical experience. The estimated annual dividend was based on the recent dividend payout trend.</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Activity related to the Company’s SPRs during the year ended December 31, 2025 was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2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 Average Remaining</w:t>
            </w:r>
          </w:p>
        </w:tc>
        <w:tc>
          <w:tcPr>
            <w:tcW w:w="120" w:type="dxa"/>
            <w:vAlign w:val="bottom"/>
          </w:tcPr>
          <w:p>
            <w:pPr>
              <w:spacing w:after="0"/>
              <w:rPr>
                <w:sz w:val="17"/>
                <w:szCs w:val="17"/>
                <w:color w:val="auto"/>
              </w:rPr>
            </w:pPr>
          </w:p>
        </w:tc>
        <w:tc>
          <w:tcPr>
            <w:tcW w:w="16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76"/>
        </w:trPr>
        <w:tc>
          <w:tcPr>
            <w:tcW w:w="3280" w:type="dxa"/>
            <w:vAlign w:val="bottom"/>
          </w:tcPr>
          <w:p>
            <w:pPr>
              <w:spacing w:after="0"/>
              <w:rPr>
                <w:sz w:val="15"/>
                <w:szCs w:val="15"/>
                <w:color w:val="auto"/>
              </w:rPr>
            </w:pPr>
          </w:p>
        </w:tc>
        <w:tc>
          <w:tcPr>
            <w:tcW w:w="17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Number of SPRs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25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1"/>
                <w:szCs w:val="21"/>
                <w:color w:val="auto"/>
              </w:rPr>
            </w:pPr>
          </w:p>
        </w:tc>
        <w:tc>
          <w:tcPr>
            <w:tcW w:w="17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 Term (in years)</w:t>
            </w:r>
          </w:p>
        </w:tc>
        <w:tc>
          <w:tcPr>
            <w:tcW w:w="120" w:type="dxa"/>
            <w:vAlign w:val="bottom"/>
          </w:tcPr>
          <w:p>
            <w:pPr>
              <w:spacing w:after="0"/>
              <w:rPr>
                <w:sz w:val="21"/>
                <w:szCs w:val="21"/>
                <w:color w:val="auto"/>
              </w:rPr>
            </w:pPr>
          </w:p>
        </w:tc>
        <w:tc>
          <w:tcPr>
            <w:tcW w:w="16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23"/>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on December 31, 2024</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92,540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0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Cancelled</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on December 31, 2025</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on December 31, 2025</w:t>
            </w: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line="20" w:lineRule="exact"/>
              <w:rPr>
                <w:sz w:val="1"/>
                <w:szCs w:val="1"/>
                <w:color w:val="auto"/>
              </w:rPr>
            </w:pPr>
          </w:p>
        </w:tc>
      </w:tr>
      <w:tr>
        <w:trPr>
          <w:trHeight w:val="208"/>
        </w:trPr>
        <w:tc>
          <w:tcPr>
            <w:tcW w:w="3280" w:type="dxa"/>
            <w:vAlign w:val="bottom"/>
            <w:vMerge w:val="continue"/>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26,754</w:t>
            </w:r>
          </w:p>
        </w:tc>
        <w:tc>
          <w:tcPr>
            <w:tcW w:w="220" w:type="dxa"/>
            <w:vAlign w:val="bottom"/>
            <w:gridSpan w:val="2"/>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intrinsic value of SPRs exercised was $1.2 million for 2025, $3.5 million for 2024 and $1.7 million for 2023. All SPRs for plan participants were fully vested prior to 2022, as such, there is no unrecognized compensation associated with any SPRs.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Market Stock Units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Market Stock Units (“MSUs”) are exchangeable for between 0% to 150% of the DSG common shares at the end of the vesting period based on the trailing 60-day average closing price of DSG common stock. The value of the MSUs was determined using a geometric brownian motion model that, based on certain variables, generates a large number of random trials simulating the price of the DSG common stock over the measurement period. All MSUs were fully vested prior to 2022, and as such there is no unrecognized compensation associated with any MSUs. The fair value of MSUs exchanged for shares of DSG common stock was $0.4 million during 2025, $0.7 million during 2024 and $0.6 million during 2023</w:t>
      </w:r>
      <w:r>
        <w:rPr>
          <w:rFonts w:ascii="Times New Roman" w:cs="Times New Roman" w:eastAsia="Times New Roman" w:hAnsi="Times New Roman"/>
          <w:sz w:val="18"/>
          <w:szCs w:val="18"/>
          <w:color w:val="EE2724"/>
        </w:rPr>
        <w:t>.</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Activity related to the Company’s MSUs during 2025 was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8"/>
                <w:szCs w:val="18"/>
                <w:color w:val="auto"/>
              </w:rPr>
            </w:pPr>
          </w:p>
        </w:tc>
        <w:tc>
          <w:tcPr>
            <w:tcW w:w="2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Number of Market Stock</w:t>
            </w:r>
          </w:p>
        </w:tc>
        <w:tc>
          <w:tcPr>
            <w:tcW w:w="2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Maximum Shares</w:t>
            </w:r>
          </w:p>
        </w:tc>
        <w:tc>
          <w:tcPr>
            <w:tcW w:w="80" w:type="dxa"/>
            <w:vAlign w:val="bottom"/>
          </w:tcPr>
          <w:p>
            <w:pPr>
              <w:spacing w:after="0"/>
              <w:rPr>
                <w:sz w:val="18"/>
                <w:szCs w:val="18"/>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 Average Grant</w:t>
            </w:r>
          </w:p>
        </w:tc>
      </w:tr>
      <w:tr>
        <w:trPr>
          <w:trHeight w:val="238"/>
        </w:trPr>
        <w:tc>
          <w:tcPr>
            <w:tcW w:w="5020" w:type="dxa"/>
            <w:vAlign w:val="bottom"/>
          </w:tcPr>
          <w:p>
            <w:pPr>
              <w:spacing w:after="0"/>
              <w:rPr>
                <w:sz w:val="20"/>
                <w:szCs w:val="20"/>
                <w:color w:val="auto"/>
              </w:rPr>
            </w:pPr>
          </w:p>
        </w:tc>
        <w:tc>
          <w:tcPr>
            <w:tcW w:w="210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20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Potentially Issuable</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Date Fair Value</w:t>
            </w: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on December 31, 2024</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103,266</w:t>
            </w:r>
          </w:p>
        </w:tc>
        <w:tc>
          <w:tcPr>
            <w:tcW w:w="10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145,091</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r>
      <w:tr>
        <w:trPr>
          <w:trHeight w:val="229"/>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2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Cancelled</w:t>
            </w:r>
          </w:p>
        </w:tc>
        <w:tc>
          <w:tcPr>
            <w:tcW w:w="2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Exchanged for common shares</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(9,870)</w:t>
            </w:r>
          </w:p>
        </w:tc>
        <w:tc>
          <w:tcPr>
            <w:tcW w:w="100" w:type="dxa"/>
            <w:vAlign w:val="bottom"/>
            <w:tcBorders>
              <w:bottom w:val="single" w:sz="8" w:color="CCEEFF"/>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7.78</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on December 31, 2025</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93,396</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130,287</w:t>
            </w:r>
          </w:p>
        </w:tc>
        <w:tc>
          <w:tcPr>
            <w:tcW w:w="3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r>
        <w:trPr>
          <w:trHeight w:val="798"/>
        </w:trPr>
        <w:tc>
          <w:tcPr>
            <w:tcW w:w="5020" w:type="dxa"/>
            <w:vAlign w:val="bottom"/>
          </w:tcPr>
          <w:p>
            <w:pPr>
              <w:spacing w:after="0"/>
              <w:rPr>
                <w:sz w:val="24"/>
                <w:szCs w:val="24"/>
                <w:color w:val="auto"/>
              </w:rPr>
            </w:pPr>
          </w:p>
        </w:tc>
        <w:tc>
          <w:tcPr>
            <w:tcW w:w="200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58"/>
        </w:trPr>
        <w:tc>
          <w:tcPr>
            <w:tcW w:w="50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Stock Split</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equity compensation plans contain anti-dilution provisions whereby in the event of any change in the capitalization of the Company (including in the event of a stock split), the number and type of awards underlying outstanding stock-based compensation awards must be adjusted, as appropriate, in order to prevent dilution or enhancement of rights. The impact of these provisions resulted in a modification of all outstanding stock-based compensation awards upon the Stock Split. As the fair value of the awards immediately after the Stock Split did not change when compared to the fair value of such awards immediately prior to the Stock Split, no incremental compensation costs were recognized as a result of such modifications. In addition, there was no change to the vesting conditions or classification of each of the outstanding stock-based compensation awards.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Split</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August 15, 2023, DSG announced that its Board of Directors approved and declared the Stock Split which entitled each stockholder of record as of the close of business on August 25, 2023, to receive one additional share of DSG common stock for each share of DSG common stock then-held. The additional shares were distributed after the close of trading on August 31, 2023, and shares of DSG common stock began trading at the split-adjusted basis on September 1, 2023. Accordingly, all share and per share amounts presented herein have been retroactively adjusted to reflect the impact of the Stock Split. Stockholders’ equity has been retroactively adjusted, where applicable, to give effect to the Stock Split for all periods presented by reclassifying the par value of the additional shares issued in connection with the Stock Split to Common stock from Capital in excess of par value in the Consolidated Balance Sheets.</w:t>
      </w:r>
    </w:p>
    <w:p>
      <w:pPr>
        <w:spacing w:after="0" w:line="21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order to implement the Stock Split, on August 31, 2023, DSG filed a Third Amended and Restated Certificate of Incorporation of DSG with the Secretary of State of the State of Delaware to increase the number of authorized shares of DSG common stock from 35,000,000 to 70,000,000, which became effective on that date. The Stock Split did not change the $1.00 par value of DSG common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Offering</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completed a subscription rights offering on May 9, 2023 (the “Rights Offering”), that raised gross proceeds of approximately $100.0 million and resulted in the issuance of 4,444,444 shares of DSG common stock at a purchase price of $22.50 per share. Net proceeds were approximately $98.5 million after transaction costs of $1.5 million related to the issuance of DSG common stock for the Rights Offering, which were recorded against Capital in excess of par value in the Consolidated Balance Sheets. DSG used the proceeds from the Rights Offering, in combination with borrowings under the Original Credit Agreement, to fund the Hisco Transaction.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an existing stock repurchase program authorized by the Board of Directors, the Company may repurchase DSG common stock from time to time in open market transactions, privately negotiated transactions or by other methods. During 2025, 2024 and 2023, the Company repurchased 776,924, 85,644 and 138,725 shares of DSG common stock under the repurchase program at an average cost of $30.26, $30.13 and $26.09 per share for a total cost of $23.5 million, $2.6 million and $3.6 million, respectively.</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November 2025, the Board authorized a $30.0 million increase to the Company’s existing stock repurchase program for shares of DSG common stock. As a result of the additional authorization, the aggregate repurchase authorization under the Company’s repurchase program for shares of DSG common stock increased from $37.5 million to $67.5 million. The remaining availability for stock repurchases under the stock repurchase program was $32.9 million at December 31, 2025.</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Earnings Per Share</w:t>
      </w:r>
    </w:p>
    <w:p>
      <w:pPr>
        <w:spacing w:after="0" w:line="25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As a result of the Stock Split discussed in Note 1 – Nature of Operations and Basis of Presentation, all historical per share data, number of shares and numbers of equity awards were retroactively adjusted. The following table provides the computation of basic and diluted earnings per share: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 except share and per share data)</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income per share:</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(8,967)</w:t>
            </w: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46,364,229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46,811,354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44,868,862</w:t>
            </w: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income (loss) per share of common stock</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23"/>
        </w:trPr>
        <w:tc>
          <w:tcPr>
            <w:tcW w:w="56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income per share:</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(8,967)</w:t>
            </w: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46,364,229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46,811,354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44,868,862</w:t>
            </w: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802,240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47,166,469</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46,811,354</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44,868,862</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income (loss) per share of common stock</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securities that were excluded from the calculation of diluted earnings per share because their inclusion would be anti-dilutive were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60" w:type="dxa"/>
            <w:vAlign w:val="bottom"/>
            <w:tcBorders>
              <w:bottom w:val="single" w:sz="8" w:color="auto"/>
            </w:tcBorders>
          </w:tcPr>
          <w:p>
            <w:pPr>
              <w:spacing w:after="0"/>
              <w:rPr>
                <w:sz w:val="20"/>
                <w:szCs w:val="20"/>
                <w:color w:val="auto"/>
              </w:rPr>
            </w:pPr>
          </w:p>
        </w:tc>
      </w:tr>
      <w:tr>
        <w:trPr>
          <w:trHeight w:val="223"/>
        </w:trPr>
        <w:tc>
          <w:tcPr>
            <w:tcW w:w="5460" w:type="dxa"/>
            <w:vAlign w:val="bottom"/>
          </w:tcPr>
          <w:p>
            <w:pPr>
              <w:spacing w:after="0"/>
              <w:rPr>
                <w:sz w:val="19"/>
                <w:szCs w:val="19"/>
                <w:color w:val="auto"/>
              </w:rPr>
            </w:pPr>
          </w:p>
        </w:tc>
        <w:tc>
          <w:tcPr>
            <w:tcW w:w="1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18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54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1,489,204</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1,681,845</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1,721,266</w:t>
            </w:r>
          </w:p>
        </w:tc>
      </w:tr>
      <w:tr>
        <w:trPr>
          <w:trHeight w:val="234"/>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stock-based awards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241,015</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383,411</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Income Taxes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Income (loss) from operations before income taxes consisted of the following:</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8"/>
              </w:rPr>
              <w:t>(1,552)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(24,949)</w:t>
            </w:r>
          </w:p>
        </w:tc>
      </w:tr>
      <w:tr>
        <w:trPr>
          <w:trHeight w:val="230"/>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20,963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22,942</w:t>
            </w:r>
          </w:p>
        </w:tc>
      </w:tr>
      <w:tr>
        <w:trPr>
          <w:trHeight w:val="248"/>
        </w:trPr>
        <w:tc>
          <w:tcPr>
            <w:tcW w:w="5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19,411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Income taxes paid, net of refunds received consisted of the following:</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2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w:t>
            </w:r>
          </w:p>
        </w:tc>
      </w:tr>
      <w:tr>
        <w:trPr>
          <w:trHeight w:val="257"/>
        </w:trPr>
        <w:tc>
          <w:tcPr>
            <w:tcW w:w="8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80" w:type="dxa"/>
            <w:vAlign w:val="bottom"/>
          </w:tcPr>
          <w:p>
            <w:pPr>
              <w:spacing w:after="0"/>
              <w:rPr>
                <w:sz w:val="22"/>
                <w:szCs w:val="22"/>
                <w:color w:val="auto"/>
              </w:rPr>
            </w:pPr>
          </w:p>
        </w:tc>
      </w:tr>
      <w:tr>
        <w:trPr>
          <w:trHeight w:val="22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state and local</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w:t>
            </w:r>
          </w:p>
        </w:tc>
      </w:tr>
      <w:tr>
        <w:trPr>
          <w:trHeight w:val="257"/>
        </w:trPr>
        <w:tc>
          <w:tcPr>
            <w:tcW w:w="8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80" w:type="dxa"/>
            <w:vAlign w:val="bottom"/>
          </w:tcPr>
          <w:p>
            <w:pPr>
              <w:spacing w:after="0"/>
              <w:rPr>
                <w:sz w:val="22"/>
                <w:szCs w:val="22"/>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r>
      <w:tr>
        <w:trPr>
          <w:trHeight w:val="229"/>
        </w:trPr>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Canada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4,966</w:t>
            </w:r>
          </w:p>
        </w:tc>
      </w:tr>
      <w:tr>
        <w:trPr>
          <w:trHeight w:val="229"/>
        </w:trPr>
        <w:tc>
          <w:tcPr>
            <w:tcW w:w="8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Mexico</w:t>
            </w:r>
          </w:p>
        </w:tc>
        <w:tc>
          <w:tcPr>
            <w:tcW w:w="22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w:t>
            </w:r>
          </w:p>
        </w:tc>
      </w:tr>
      <w:tr>
        <w:trPr>
          <w:trHeight w:val="230"/>
        </w:trPr>
        <w:tc>
          <w:tcPr>
            <w:tcW w:w="8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Hungary</w:t>
            </w:r>
          </w:p>
        </w:tc>
        <w:tc>
          <w:tcPr>
            <w:tcW w:w="22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r>
      <w:tr>
        <w:trPr>
          <w:trHeight w:val="229"/>
        </w:trPr>
        <w:tc>
          <w:tcPr>
            <w:tcW w:w="8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220" w:type="dxa"/>
            <w:vAlign w:val="bottom"/>
            <w:tcBorders>
              <w:bottom w:val="single" w:sz="8" w:color="auto"/>
            </w:tcBorders>
            <w:shd w:val="clear" w:color="auto" w:fill="CCEEFF"/>
          </w:tcPr>
          <w:p>
            <w:pPr>
              <w:spacing w:after="0"/>
              <w:rPr>
                <w:sz w:val="19"/>
                <w:szCs w:val="19"/>
                <w:color w:val="auto"/>
              </w:rPr>
            </w:pPr>
          </w:p>
        </w:tc>
        <w:tc>
          <w:tcPr>
            <w:tcW w:w="2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r>
      <w:tr>
        <w:trPr>
          <w:trHeight w:val="223"/>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foreign</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10,416</w:t>
            </w:r>
          </w:p>
        </w:tc>
      </w:tr>
      <w:tr>
        <w:trPr>
          <w:trHeight w:val="248"/>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taxes paid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18,187</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4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Provision (benefit) for income taxes from operations consisted of the following:</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federal</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w:t>
            </w:r>
          </w:p>
        </w:tc>
        <w:tc>
          <w:tcPr>
            <w:tcW w:w="52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w:t>
            </w:r>
          </w:p>
        </w:tc>
      </w:tr>
      <w:tr>
        <w:trPr>
          <w:trHeight w:val="230"/>
        </w:trPr>
        <w:tc>
          <w:tcPr>
            <w:tcW w:w="5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state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r>
      <w:tr>
        <w:trPr>
          <w:trHeight w:val="229"/>
        </w:trPr>
        <w:tc>
          <w:tcPr>
            <w:tcW w:w="5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7,639</w:t>
            </w:r>
          </w:p>
        </w:tc>
      </w:tr>
      <w:tr>
        <w:trPr>
          <w:trHeight w:val="223"/>
        </w:trPr>
        <w:tc>
          <w:tcPr>
            <w:tcW w:w="5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14,988</w:t>
            </w:r>
          </w:p>
        </w:tc>
      </w:tr>
      <w:tr>
        <w:trPr>
          <w:trHeight w:val="21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5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federal</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52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(8,101)</w:t>
            </w:r>
          </w:p>
        </w:tc>
      </w:tr>
      <w:tr>
        <w:trPr>
          <w:trHeight w:val="229"/>
        </w:trPr>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state</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r>
      <w:tr>
        <w:trPr>
          <w:trHeight w:val="230"/>
        </w:trPr>
        <w:tc>
          <w:tcPr>
            <w:tcW w:w="5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r>
      <w:tr>
        <w:trPr>
          <w:trHeight w:val="223"/>
        </w:trPr>
        <w:tc>
          <w:tcPr>
            <w:tcW w:w="56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(8,028)</w:t>
            </w: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federal</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52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w:t>
            </w:r>
          </w:p>
        </w:tc>
      </w:tr>
      <w:tr>
        <w:trPr>
          <w:trHeight w:val="229"/>
        </w:trPr>
        <w:tc>
          <w:tcPr>
            <w:tcW w:w="5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state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r>
      <w:tr>
        <w:trPr>
          <w:trHeight w:val="230"/>
        </w:trPr>
        <w:tc>
          <w:tcPr>
            <w:tcW w:w="5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6,481</w:t>
            </w:r>
          </w:p>
        </w:tc>
      </w:tr>
      <w:tr>
        <w:trPr>
          <w:trHeight w:val="248"/>
        </w:trPr>
        <w:tc>
          <w:tcPr>
            <w:tcW w:w="56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6,960</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 xml:space="preserve">The Company adopted ASU 2023-09, Income Taxes (Topic 740): Improvements to Income Tax Disclosures on a prospective basis beginning with the year </w:t>
      </w:r>
      <w:r>
        <w:rPr>
          <w:rFonts w:ascii="Times New Roman" w:cs="Times New Roman" w:eastAsia="Times New Roman" w:hAnsi="Times New Roman"/>
          <w:sz w:val="18"/>
          <w:szCs w:val="18"/>
          <w:color w:val="181717"/>
        </w:rPr>
        <w:t>ended</w:t>
      </w:r>
      <w:r>
        <w:rPr>
          <w:rFonts w:ascii="Times New Roman" w:cs="Times New Roman" w:eastAsia="Times New Roman" w:hAnsi="Times New Roman"/>
          <w:sz w:val="18"/>
          <w:szCs w:val="18"/>
          <w:color w:val="auto"/>
        </w:rPr>
        <w:t xml:space="preserve"> December 31, 2025. The reconciliation between the effective income tax rate and the statutory federal rate for operations for the year </w:t>
      </w:r>
      <w:r>
        <w:rPr>
          <w:rFonts w:ascii="Times New Roman" w:cs="Times New Roman" w:eastAsia="Times New Roman" w:hAnsi="Times New Roman"/>
          <w:sz w:val="18"/>
          <w:szCs w:val="18"/>
          <w:color w:val="181717"/>
        </w:rPr>
        <w:t>ended</w:t>
      </w:r>
      <w:r>
        <w:rPr>
          <w:rFonts w:ascii="Times New Roman" w:cs="Times New Roman" w:eastAsia="Times New Roman" w:hAnsi="Times New Roman"/>
          <w:sz w:val="18"/>
          <w:szCs w:val="18"/>
          <w:color w:val="auto"/>
        </w:rPr>
        <w:t xml:space="preserve"> December 31, 2025 (subsequent to the January 1, 2025 prospective adoption of ASU 2023-09) is as follows: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68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60" w:type="dxa"/>
            <w:vAlign w:val="bottom"/>
            <w:tcBorders>
              <w:top w:val="single" w:sz="8" w:color="auto"/>
              <w:bottom w:val="single" w:sz="8" w:color="auto"/>
            </w:tcBorders>
          </w:tcPr>
          <w:p>
            <w:pPr>
              <w:spacing w:after="0"/>
              <w:rPr>
                <w:sz w:val="19"/>
                <w:szCs w:val="19"/>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federal rate</w:t>
            </w:r>
          </w:p>
        </w:tc>
        <w:tc>
          <w:tcPr>
            <w:tcW w:w="6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4,076</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21.00 %</w:t>
            </w:r>
          </w:p>
        </w:tc>
      </w:tr>
      <w:tr>
        <w:trPr>
          <w:trHeight w:val="229"/>
        </w:trPr>
        <w:tc>
          <w:tcPr>
            <w:tcW w:w="75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State income taxes, net of federal effect</w:t>
            </w:r>
            <w:r>
              <w:rPr>
                <w:rFonts w:ascii="Times New Roman" w:cs="Times New Roman" w:eastAsia="Times New Roman" w:hAnsi="Times New Roman"/>
                <w:sz w:val="23"/>
                <w:szCs w:val="23"/>
                <w:color w:val="auto"/>
                <w:vertAlign w:val="superscript"/>
              </w:rPr>
              <w:t>(1)</w:t>
            </w:r>
          </w:p>
        </w:tc>
        <w:tc>
          <w:tcPr>
            <w:tcW w:w="680" w:type="dxa"/>
            <w:vAlign w:val="bottom"/>
          </w:tcPr>
          <w:p>
            <w:pPr>
              <w:spacing w:after="0"/>
              <w:rPr>
                <w:sz w:val="19"/>
                <w:szCs w:val="19"/>
                <w:color w:val="auto"/>
              </w:rPr>
            </w:pPr>
          </w:p>
        </w:tc>
        <w:tc>
          <w:tcPr>
            <w:tcW w:w="18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881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4.54</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68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2,330</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12.00</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6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Meals and entertainment</w:t>
            </w:r>
          </w:p>
        </w:tc>
        <w:tc>
          <w:tcPr>
            <w:tcW w:w="68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249</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1.28</w:t>
            </w:r>
          </w:p>
        </w:tc>
      </w:tr>
      <w:tr>
        <w:trPr>
          <w:trHeight w:val="229"/>
        </w:trPr>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nontaxable or nondeductible items</w:t>
            </w:r>
          </w:p>
        </w:tc>
        <w:tc>
          <w:tcPr>
            <w:tcW w:w="680" w:type="dxa"/>
            <w:vAlign w:val="bottom"/>
          </w:tcPr>
          <w:p>
            <w:pPr>
              <w:spacing w:after="0"/>
              <w:rPr>
                <w:sz w:val="19"/>
                <w:szCs w:val="19"/>
                <w:color w:val="auto"/>
              </w:rPr>
            </w:pPr>
          </w:p>
        </w:tc>
        <w:tc>
          <w:tcPr>
            <w:tcW w:w="18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239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1.23</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Branch income</w:t>
            </w:r>
          </w:p>
        </w:tc>
        <w:tc>
          <w:tcPr>
            <w:tcW w:w="68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980</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5.05</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cross-border tax laws</w:t>
            </w:r>
          </w:p>
        </w:tc>
        <w:tc>
          <w:tcPr>
            <w:tcW w:w="680" w:type="dxa"/>
            <w:vAlign w:val="bottom"/>
          </w:tcPr>
          <w:p>
            <w:pPr>
              <w:spacing w:after="0"/>
              <w:rPr>
                <w:sz w:val="19"/>
                <w:szCs w:val="19"/>
                <w:color w:val="auto"/>
              </w:rPr>
            </w:pPr>
          </w:p>
        </w:tc>
        <w:tc>
          <w:tcPr>
            <w:tcW w:w="18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17</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0.09</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Worldwide changes in UTB</w:t>
            </w:r>
          </w:p>
        </w:tc>
        <w:tc>
          <w:tcPr>
            <w:tcW w:w="68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52</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0.27</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tcPr>
          <w:p>
            <w:pPr>
              <w:spacing w:after="0"/>
              <w:rPr>
                <w:sz w:val="19"/>
                <w:szCs w:val="19"/>
                <w:color w:val="auto"/>
              </w:rPr>
            </w:pPr>
          </w:p>
        </w:tc>
        <w:tc>
          <w:tcPr>
            <w:tcW w:w="18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244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1.25</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6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Canada</w:t>
            </w:r>
          </w:p>
        </w:tc>
        <w:tc>
          <w:tcPr>
            <w:tcW w:w="6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rate differential</w:t>
            </w:r>
          </w:p>
        </w:tc>
        <w:tc>
          <w:tcPr>
            <w:tcW w:w="68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430</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2.22</w:t>
            </w:r>
          </w:p>
        </w:tc>
      </w:tr>
      <w:tr>
        <w:trPr>
          <w:trHeight w:val="230"/>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Adjustment to income taxes payable</w:t>
            </w:r>
          </w:p>
        </w:tc>
        <w:tc>
          <w:tcPr>
            <w:tcW w:w="680" w:type="dxa"/>
            <w:vAlign w:val="bottom"/>
          </w:tcPr>
          <w:p>
            <w:pPr>
              <w:spacing w:after="0"/>
              <w:rPr>
                <w:sz w:val="19"/>
                <w:szCs w:val="19"/>
                <w:color w:val="auto"/>
              </w:rPr>
            </w:pPr>
          </w:p>
        </w:tc>
        <w:tc>
          <w:tcPr>
            <w:tcW w:w="18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290</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Canada</w:t>
            </w:r>
          </w:p>
        </w:tc>
        <w:tc>
          <w:tcPr>
            <w:tcW w:w="68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227</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1.18</w:t>
            </w:r>
          </w:p>
        </w:tc>
      </w:tr>
      <w:tr>
        <w:trPr>
          <w:trHeight w:val="229"/>
        </w:trPr>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Mexico</w:t>
            </w:r>
          </w:p>
        </w:tc>
        <w:tc>
          <w:tcPr>
            <w:tcW w:w="6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rate differential</w:t>
            </w:r>
          </w:p>
        </w:tc>
        <w:tc>
          <w:tcPr>
            <w:tcW w:w="68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675</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3.48</w:t>
            </w:r>
          </w:p>
        </w:tc>
      </w:tr>
      <w:tr>
        <w:trPr>
          <w:trHeight w:val="229"/>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Adjustment to income taxes payable</w:t>
            </w:r>
          </w:p>
        </w:tc>
        <w:tc>
          <w:tcPr>
            <w:tcW w:w="680" w:type="dxa"/>
            <w:vAlign w:val="bottom"/>
          </w:tcPr>
          <w:p>
            <w:pPr>
              <w:spacing w:after="0"/>
              <w:rPr>
                <w:sz w:val="19"/>
                <w:szCs w:val="19"/>
                <w:color w:val="auto"/>
              </w:rPr>
            </w:pPr>
          </w:p>
        </w:tc>
        <w:tc>
          <w:tcPr>
            <w:tcW w:w="18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(511)</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(2.63)</w:t>
            </w:r>
          </w:p>
        </w:tc>
      </w:tr>
      <w:tr>
        <w:trPr>
          <w:trHeight w:val="229"/>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Mexico</w:t>
            </w:r>
          </w:p>
        </w:tc>
        <w:tc>
          <w:tcPr>
            <w:tcW w:w="68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112</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0.58</w:t>
            </w:r>
          </w:p>
        </w:tc>
      </w:tr>
      <w:tr>
        <w:trPr>
          <w:trHeight w:val="230"/>
        </w:trPr>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Turkey</w:t>
            </w:r>
          </w:p>
        </w:tc>
        <w:tc>
          <w:tcPr>
            <w:tcW w:w="6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 to income taxes payable</w:t>
            </w:r>
          </w:p>
        </w:tc>
        <w:tc>
          <w:tcPr>
            <w:tcW w:w="68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(386)</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(1.99)</w:t>
            </w:r>
          </w:p>
        </w:tc>
      </w:tr>
      <w:tr>
        <w:trPr>
          <w:trHeight w:val="230"/>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Turkey</w:t>
            </w:r>
          </w:p>
        </w:tc>
        <w:tc>
          <w:tcPr>
            <w:tcW w:w="680" w:type="dxa"/>
            <w:vAlign w:val="bottom"/>
          </w:tcPr>
          <w:p>
            <w:pPr>
              <w:spacing w:after="0"/>
              <w:rPr>
                <w:sz w:val="19"/>
                <w:szCs w:val="19"/>
                <w:color w:val="auto"/>
              </w:rPr>
            </w:pPr>
          </w:p>
        </w:tc>
        <w:tc>
          <w:tcPr>
            <w:tcW w:w="18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(11)</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(0.06)</w:t>
            </w:r>
          </w:p>
        </w:tc>
      </w:tr>
      <w:tr>
        <w:trPr>
          <w:trHeight w:val="230"/>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Hungary</w:t>
            </w:r>
          </w:p>
        </w:tc>
        <w:tc>
          <w:tcPr>
            <w:tcW w:w="6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rate differential</w:t>
            </w:r>
          </w:p>
        </w:tc>
        <w:tc>
          <w:tcPr>
            <w:tcW w:w="680" w:type="dxa"/>
            <w:vAlign w:val="bottom"/>
          </w:tcPr>
          <w:p>
            <w:pPr>
              <w:spacing w:after="0"/>
              <w:rPr>
                <w:sz w:val="19"/>
                <w:szCs w:val="19"/>
                <w:color w:val="auto"/>
              </w:rPr>
            </w:pPr>
          </w:p>
        </w:tc>
        <w:tc>
          <w:tcPr>
            <w:tcW w:w="18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(560)</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(2.89)</w:t>
            </w:r>
          </w:p>
        </w:tc>
      </w:tr>
      <w:tr>
        <w:trPr>
          <w:trHeight w:val="229"/>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 to income taxes payable</w:t>
            </w:r>
          </w:p>
        </w:tc>
        <w:tc>
          <w:tcPr>
            <w:tcW w:w="68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781</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4.02</w:t>
            </w:r>
          </w:p>
        </w:tc>
      </w:tr>
      <w:tr>
        <w:trPr>
          <w:trHeight w:val="230"/>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Hungary</w:t>
            </w:r>
          </w:p>
        </w:tc>
        <w:tc>
          <w:tcPr>
            <w:tcW w:w="680" w:type="dxa"/>
            <w:vAlign w:val="bottom"/>
          </w:tcPr>
          <w:p>
            <w:pPr>
              <w:spacing w:after="0"/>
              <w:rPr>
                <w:sz w:val="19"/>
                <w:szCs w:val="19"/>
                <w:color w:val="auto"/>
              </w:rPr>
            </w:pPr>
          </w:p>
        </w:tc>
        <w:tc>
          <w:tcPr>
            <w:tcW w:w="18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(44)</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(0.23)</w:t>
            </w:r>
          </w:p>
        </w:tc>
      </w:tr>
      <w:tr>
        <w:trPr>
          <w:trHeight w:val="230"/>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Denmark</w:t>
            </w:r>
          </w:p>
        </w:tc>
        <w:tc>
          <w:tcPr>
            <w:tcW w:w="6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to return adjustments</w:t>
            </w:r>
          </w:p>
        </w:tc>
        <w:tc>
          <w:tcPr>
            <w:tcW w:w="680" w:type="dxa"/>
            <w:vAlign w:val="bottom"/>
          </w:tcPr>
          <w:p>
            <w:pPr>
              <w:spacing w:after="0"/>
              <w:rPr>
                <w:sz w:val="19"/>
                <w:szCs w:val="19"/>
                <w:color w:val="auto"/>
              </w:rPr>
            </w:pPr>
          </w:p>
        </w:tc>
        <w:tc>
          <w:tcPr>
            <w:tcW w:w="1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476</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2.45</w:t>
            </w:r>
          </w:p>
        </w:tc>
      </w:tr>
      <w:tr>
        <w:trPr>
          <w:trHeight w:val="229"/>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 to income taxes payable</w:t>
            </w:r>
          </w:p>
        </w:tc>
        <w:tc>
          <w:tcPr>
            <w:tcW w:w="68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692</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3.57</w:t>
            </w:r>
          </w:p>
        </w:tc>
      </w:tr>
      <w:tr>
        <w:trPr>
          <w:trHeight w:val="230"/>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Denmark</w:t>
            </w:r>
          </w:p>
        </w:tc>
        <w:tc>
          <w:tcPr>
            <w:tcW w:w="680" w:type="dxa"/>
            <w:vAlign w:val="bottom"/>
          </w:tcPr>
          <w:p>
            <w:pPr>
              <w:spacing w:after="0"/>
              <w:rPr>
                <w:sz w:val="19"/>
                <w:szCs w:val="19"/>
                <w:color w:val="auto"/>
              </w:rPr>
            </w:pPr>
          </w:p>
        </w:tc>
        <w:tc>
          <w:tcPr>
            <w:tcW w:w="1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56</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0.29</w:t>
            </w:r>
          </w:p>
        </w:tc>
      </w:tr>
      <w:tr>
        <w:trPr>
          <w:trHeight w:val="230"/>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Brazil</w:t>
            </w:r>
          </w:p>
        </w:tc>
        <w:tc>
          <w:tcPr>
            <w:tcW w:w="6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gains</w:t>
            </w:r>
          </w:p>
        </w:tc>
        <w:tc>
          <w:tcPr>
            <w:tcW w:w="680" w:type="dxa"/>
            <w:vAlign w:val="bottom"/>
          </w:tcPr>
          <w:p>
            <w:pPr>
              <w:spacing w:after="0"/>
              <w:rPr>
                <w:sz w:val="19"/>
                <w:szCs w:val="19"/>
                <w:color w:val="auto"/>
              </w:rPr>
            </w:pPr>
          </w:p>
        </w:tc>
        <w:tc>
          <w:tcPr>
            <w:tcW w:w="1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212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1.09</w:t>
            </w:r>
          </w:p>
        </w:tc>
      </w:tr>
      <w:tr>
        <w:trPr>
          <w:trHeight w:val="229"/>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 to income taxes payable</w:t>
            </w:r>
          </w:p>
        </w:tc>
        <w:tc>
          <w:tcPr>
            <w:tcW w:w="68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(338)</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(1.74)</w:t>
            </w:r>
          </w:p>
        </w:tc>
      </w:tr>
      <w:tr>
        <w:trPr>
          <w:trHeight w:val="230"/>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Brazil</w:t>
            </w:r>
          </w:p>
        </w:tc>
        <w:tc>
          <w:tcPr>
            <w:tcW w:w="680" w:type="dxa"/>
            <w:vAlign w:val="bottom"/>
          </w:tcPr>
          <w:p>
            <w:pPr>
              <w:spacing w:after="0"/>
              <w:rPr>
                <w:sz w:val="19"/>
                <w:szCs w:val="19"/>
                <w:color w:val="auto"/>
              </w:rPr>
            </w:pPr>
          </w:p>
        </w:tc>
        <w:tc>
          <w:tcPr>
            <w:tcW w:w="18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(14)</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(0.07)</w:t>
            </w:r>
          </w:p>
        </w:tc>
      </w:tr>
      <w:tr>
        <w:trPr>
          <w:trHeight w:val="230"/>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India</w:t>
            </w:r>
          </w:p>
        </w:tc>
        <w:tc>
          <w:tcPr>
            <w:tcW w:w="6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to return adjustments</w:t>
            </w:r>
          </w:p>
        </w:tc>
        <w:tc>
          <w:tcPr>
            <w:tcW w:w="680" w:type="dxa"/>
            <w:vAlign w:val="bottom"/>
          </w:tcPr>
          <w:p>
            <w:pPr>
              <w:spacing w:after="0"/>
              <w:rPr>
                <w:sz w:val="19"/>
                <w:szCs w:val="19"/>
                <w:color w:val="auto"/>
              </w:rPr>
            </w:pPr>
          </w:p>
        </w:tc>
        <w:tc>
          <w:tcPr>
            <w:tcW w:w="1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461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2.38</w:t>
            </w:r>
          </w:p>
        </w:tc>
      </w:tr>
      <w:tr>
        <w:trPr>
          <w:trHeight w:val="229"/>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 to income taxes payable</w:t>
            </w:r>
          </w:p>
        </w:tc>
        <w:tc>
          <w:tcPr>
            <w:tcW w:w="68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(717)</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(3.69)</w:t>
            </w:r>
          </w:p>
        </w:tc>
      </w:tr>
      <w:tr>
        <w:trPr>
          <w:trHeight w:val="230"/>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India</w:t>
            </w:r>
          </w:p>
        </w:tc>
        <w:tc>
          <w:tcPr>
            <w:tcW w:w="680" w:type="dxa"/>
            <w:vAlign w:val="bottom"/>
          </w:tcPr>
          <w:p>
            <w:pPr>
              <w:spacing w:after="0"/>
              <w:rPr>
                <w:sz w:val="19"/>
                <w:szCs w:val="19"/>
                <w:color w:val="auto"/>
              </w:rPr>
            </w:pPr>
          </w:p>
        </w:tc>
        <w:tc>
          <w:tcPr>
            <w:tcW w:w="18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(20)</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(0.10)</w:t>
            </w:r>
          </w:p>
        </w:tc>
      </w:tr>
      <w:tr>
        <w:trPr>
          <w:trHeight w:val="230"/>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6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187</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0.94</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11,066</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57.01 %</w:t>
            </w:r>
          </w:p>
        </w:tc>
      </w:tr>
      <w:tr>
        <w:trPr>
          <w:trHeight w:val="20"/>
        </w:trPr>
        <w:tc>
          <w:tcPr>
            <w:tcW w:w="7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The states and local jurisdictions that contribute to the majority (greater than 50%) of the tax effect in this category include California, Illinois, New York, Pennsylvania, Florida, and Colorado.</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reconciliation between the effective income tax rates and the statutory federal rates for operations for the years ended December 31, 2024 and 2023 (prior to the January 1, 2025 prospective adoption of ASU 2023-09) are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40" w:type="dxa"/>
            <w:vAlign w:val="bottom"/>
          </w:tcPr>
          <w:p>
            <w:pPr>
              <w:spacing w:after="0"/>
              <w:rPr>
                <w:sz w:val="20"/>
                <w:szCs w:val="20"/>
                <w:color w:val="auto"/>
              </w:rPr>
            </w:pPr>
          </w:p>
        </w:tc>
        <w:tc>
          <w:tcPr>
            <w:tcW w:w="3900" w:type="dxa"/>
            <w:vAlign w:val="bottom"/>
            <w:tcBorders>
              <w:bottom w:val="single" w:sz="8" w:color="auto"/>
            </w:tcBorders>
            <w:gridSpan w:val="3"/>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734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federal rate</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resulting from:</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30"/>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valuation allowance - current period activity</w:t>
            </w:r>
          </w:p>
        </w:tc>
        <w:tc>
          <w:tcPr>
            <w:tcW w:w="1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(1,196.4)</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(380.7)</w:t>
            </w:r>
          </w:p>
        </w:tc>
      </w:tr>
      <w:tr>
        <w:trPr>
          <w:trHeight w:val="229"/>
        </w:trPr>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9"/>
                <w:szCs w:val="19"/>
                <w:color w:val="auto"/>
              </w:rPr>
            </w:pPr>
          </w:p>
        </w:tc>
        <w:tc>
          <w:tcPr>
            <w:tcW w:w="1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 compensation</w:t>
            </w:r>
          </w:p>
        </w:tc>
        <w:tc>
          <w:tcPr>
            <w:tcW w:w="1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Compensation deduction limitation</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 and local taxes, net</w:t>
            </w:r>
          </w:p>
        </w:tc>
        <w:tc>
          <w:tcPr>
            <w:tcW w:w="1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67.1</w:t>
            </w:r>
          </w:p>
        </w:tc>
      </w:tr>
      <w:tr>
        <w:trPr>
          <w:trHeight w:val="229"/>
        </w:trPr>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Life insurance</w:t>
            </w:r>
          </w:p>
        </w:tc>
        <w:tc>
          <w:tcPr>
            <w:tcW w:w="1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1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Meals &amp; entertainment</w:t>
            </w:r>
          </w:p>
        </w:tc>
        <w:tc>
          <w:tcPr>
            <w:tcW w:w="1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(17.3)</w:t>
            </w:r>
          </w:p>
        </w:tc>
      </w:tr>
      <w:tr>
        <w:trPr>
          <w:trHeight w:val="229"/>
        </w:trPr>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uncertain tax positions</w:t>
            </w:r>
          </w:p>
        </w:tc>
        <w:tc>
          <w:tcPr>
            <w:tcW w:w="1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9"/>
                <w:szCs w:val="19"/>
                <w:color w:val="auto"/>
              </w:rPr>
            </w:pPr>
          </w:p>
        </w:tc>
        <w:tc>
          <w:tcPr>
            <w:tcW w:w="1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18.1</w:t>
            </w:r>
          </w:p>
        </w:tc>
      </w:tr>
      <w:tr>
        <w:trPr>
          <w:trHeight w:val="230"/>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 to return differences</w:t>
            </w:r>
          </w:p>
        </w:tc>
        <w:tc>
          <w:tcPr>
            <w:tcW w:w="1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(45.3)</w:t>
            </w:r>
          </w:p>
        </w:tc>
      </w:tr>
      <w:tr>
        <w:trPr>
          <w:trHeight w:val="229"/>
        </w:trPr>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GILTI, Section 78, FDII, and Section 250</w:t>
            </w:r>
          </w:p>
        </w:tc>
        <w:tc>
          <w:tcPr>
            <w:tcW w:w="1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1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Transaction costs</w:t>
            </w:r>
          </w:p>
        </w:tc>
        <w:tc>
          <w:tcPr>
            <w:tcW w:w="1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Branch income</w:t>
            </w:r>
          </w:p>
        </w:tc>
        <w:tc>
          <w:tcPr>
            <w:tcW w:w="1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(275.2)</w:t>
            </w:r>
          </w:p>
        </w:tc>
        <w:tc>
          <w:tcPr>
            <w:tcW w:w="100" w:type="dxa"/>
            <w:vAlign w:val="bottom"/>
          </w:tcPr>
          <w:p>
            <w:pPr>
              <w:spacing w:after="0"/>
              <w:rPr>
                <w:sz w:val="19"/>
                <w:szCs w:val="19"/>
                <w:color w:val="auto"/>
              </w:rPr>
            </w:pPr>
          </w:p>
        </w:tc>
        <w:tc>
          <w:tcPr>
            <w:tcW w:w="1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(81.6)</w:t>
            </w:r>
          </w:p>
        </w:tc>
      </w:tr>
      <w:tr>
        <w:trPr>
          <w:trHeight w:val="229"/>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deferred balances</w:t>
            </w:r>
          </w:p>
        </w:tc>
        <w:tc>
          <w:tcPr>
            <w:tcW w:w="1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263.4</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79.4</w:t>
            </w:r>
          </w:p>
        </w:tc>
      </w:tr>
      <w:tr>
        <w:trPr>
          <w:trHeight w:val="229"/>
        </w:trPr>
        <w:tc>
          <w:tcPr>
            <w:tcW w:w="73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items, net</w:t>
            </w:r>
          </w:p>
        </w:tc>
        <w:tc>
          <w:tcPr>
            <w:tcW w:w="1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r>
      <w:tr>
        <w:trPr>
          <w:trHeight w:val="248"/>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(1,267.9)%</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Deferred income tax assets and liabilities contain the following temporary differences: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tcBorders>
              <w:bottom w:val="single" w:sz="8" w:color="auto"/>
            </w:tcBorders>
          </w:tcPr>
          <w:p>
            <w:pPr>
              <w:spacing w:after="0"/>
              <w:rPr>
                <w:sz w:val="20"/>
                <w:szCs w:val="20"/>
                <w:color w:val="auto"/>
              </w:rPr>
            </w:pPr>
          </w:p>
        </w:tc>
      </w:tr>
      <w:tr>
        <w:trPr>
          <w:trHeight w:val="223"/>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7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 &amp; state NOL carryforward</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13,547</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9,943</w:t>
            </w:r>
          </w:p>
        </w:tc>
      </w:tr>
      <w:tr>
        <w:trPr>
          <w:trHeight w:val="229"/>
        </w:trPr>
        <w:tc>
          <w:tcPr>
            <w:tcW w:w="7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30"/>
        </w:trPr>
        <w:tc>
          <w:tcPr>
            <w:tcW w:w="7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w:t>
            </w:r>
          </w:p>
        </w:tc>
      </w:tr>
      <w:tr>
        <w:trPr>
          <w:trHeight w:val="229"/>
        </w:trPr>
        <w:tc>
          <w:tcPr>
            <w:tcW w:w="7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Inventory adjustments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10,269</w:t>
            </w:r>
          </w:p>
        </w:tc>
      </w:tr>
      <w:tr>
        <w:trPr>
          <w:trHeight w:val="229"/>
        </w:trPr>
        <w:tc>
          <w:tcPr>
            <w:tcW w:w="7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benefits &amp; bonuses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7,821</w:t>
            </w:r>
          </w:p>
        </w:tc>
      </w:tr>
      <w:tr>
        <w:trPr>
          <w:trHeight w:val="230"/>
        </w:trPr>
        <w:tc>
          <w:tcPr>
            <w:tcW w:w="7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Bad debt reserve</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229"/>
        </w:trPr>
        <w:tc>
          <w:tcPr>
            <w:tcW w:w="7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Capitalized transaction costs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r>
      <w:tr>
        <w:trPr>
          <w:trHeight w:val="229"/>
        </w:trPr>
        <w:tc>
          <w:tcPr>
            <w:tcW w:w="7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163(j) limitation carryforward</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20,422</w:t>
            </w:r>
          </w:p>
        </w:tc>
      </w:tr>
      <w:tr>
        <w:trPr>
          <w:trHeight w:val="230"/>
        </w:trPr>
        <w:tc>
          <w:tcPr>
            <w:tcW w:w="7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 of use liabilities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21,476</w:t>
            </w:r>
          </w:p>
        </w:tc>
      </w:tr>
      <w:tr>
        <w:trPr>
          <w:trHeight w:val="229"/>
        </w:trPr>
        <w:tc>
          <w:tcPr>
            <w:tcW w:w="7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Investment in foreign subsidiaries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5,952</w:t>
            </w:r>
          </w:p>
        </w:tc>
      </w:tr>
      <w:tr>
        <w:trPr>
          <w:trHeight w:val="229"/>
        </w:trPr>
        <w:tc>
          <w:tcPr>
            <w:tcW w:w="7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state income tax</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23"/>
        </w:trPr>
        <w:tc>
          <w:tcPr>
            <w:tcW w:w="7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93,836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81,652</w:t>
            </w:r>
          </w:p>
        </w:tc>
      </w:tr>
      <w:tr>
        <w:trPr>
          <w:trHeight w:val="229"/>
        </w:trPr>
        <w:tc>
          <w:tcPr>
            <w:tcW w:w="7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Valuation allowance</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(19,279)</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(14,868)</w:t>
            </w:r>
          </w:p>
        </w:tc>
      </w:tr>
      <w:tr>
        <w:trPr>
          <w:trHeight w:val="223"/>
        </w:trPr>
        <w:tc>
          <w:tcPr>
            <w:tcW w:w="7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74,557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66,784</w:t>
            </w:r>
          </w:p>
        </w:tc>
      </w:tr>
      <w:tr>
        <w:trPr>
          <w:trHeight w:val="256"/>
        </w:trPr>
        <w:tc>
          <w:tcPr>
            <w:tcW w:w="75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7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intangibles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45,360</w:t>
            </w:r>
          </w:p>
        </w:tc>
      </w:tr>
      <w:tr>
        <w:trPr>
          <w:trHeight w:val="229"/>
        </w:trPr>
        <w:tc>
          <w:tcPr>
            <w:tcW w:w="7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Fixed assets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21,685</w:t>
            </w:r>
          </w:p>
        </w:tc>
      </w:tr>
      <w:tr>
        <w:trPr>
          <w:trHeight w:val="230"/>
        </w:trPr>
        <w:tc>
          <w:tcPr>
            <w:tcW w:w="7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Right of use assets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20,449</w:t>
            </w:r>
          </w:p>
        </w:tc>
      </w:tr>
      <w:tr>
        <w:trPr>
          <w:trHeight w:val="229"/>
        </w:trPr>
        <w:tc>
          <w:tcPr>
            <w:tcW w:w="75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w:t>
            </w:r>
          </w:p>
        </w:tc>
      </w:tr>
      <w:tr>
        <w:trPr>
          <w:trHeight w:val="223"/>
        </w:trPr>
        <w:tc>
          <w:tcPr>
            <w:tcW w:w="7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93,508</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88,913</w:t>
            </w: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(18,951)</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(22,129)</w:t>
            </w:r>
          </w:p>
        </w:tc>
      </w:tr>
      <w:tr>
        <w:trPr>
          <w:trHeight w:val="20"/>
        </w:trPr>
        <w:tc>
          <w:tcPr>
            <w:tcW w:w="7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December 31, 2025, the Company had $21.4 million of U.S. federal net operating loss carryforwards (“NOLs”) that do not expire, and $85.2 million of state NOLs that expire between 2026 and 2037. At December 31, 2025 the Company had a total valuation allowance of $19.3 million. At December 31, 2024, the valuation allowance was $14.9 million. The change in the valuation allowance during 2025 was primarily related to establishing a valuation allowance against the deferred tax asset for Section 163(j) limited interest expense. The Company does not expect that its future taxable income will be sufficient to realize these existing deferred tax assets.</w:t>
      </w:r>
    </w:p>
    <w:p>
      <w:pPr>
        <w:spacing w:after="0" w:line="21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Earnings from the Company’s foreign subsidiaries are considered to be indefinitely reinvested. A distribution of these non-U.S. earnings in the form of dividends or otherwise would subject the company to foreign withholding taxes and may subject the Company to U.S. federal and state taxes. Determination of the amount of unrecognized deferred tax liability related to indefinitely reinvested profits is not feasible primarily due the Company’s legal entity structure and the complexity of U.S. tax laws.</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Global Intangible Low Taxed Income (GILTI) is a deemed amount of income derived from controlled foreign corporations (CFCs) in which a U.S. person is a 10% direct or indirect shareholder. The Company owns numerous CFCs, which are subject to GILTI inclusion. However, because several of the CFCs operate in countries with a high tax rate, notably Canada, Denmark and Mexico, it was determined that a Section 954 High Tax Exception to GILTI inclusions is appropriate.</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required under ASU 2023-09, the Company has included only the portion of the valuation allowance related to federal deferred tax assets in the “change in valuation allowance” line of the rate reconciliation. The following table presents a reconciliation of the total change in the valuation allowance: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2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(14,868)</w:t>
            </w:r>
          </w:p>
        </w:tc>
      </w:tr>
      <w:tr>
        <w:trPr>
          <w:trHeight w:val="229"/>
        </w:trPr>
        <w:tc>
          <w:tcPr>
            <w:tcW w:w="8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Changes to income tax expense</w:t>
            </w:r>
          </w:p>
        </w:tc>
        <w:tc>
          <w:tcPr>
            <w:tcW w:w="22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w:t>
            </w:r>
          </w:p>
        </w:tc>
      </w:tr>
      <w:tr>
        <w:trPr>
          <w:trHeight w:val="229"/>
        </w:trPr>
        <w:tc>
          <w:tcPr>
            <w:tcW w:w="8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Changes to OCI</w:t>
            </w:r>
          </w:p>
        </w:tc>
        <w:tc>
          <w:tcPr>
            <w:tcW w:w="22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Changes to goodwill</w:t>
            </w:r>
          </w:p>
        </w:tc>
        <w:tc>
          <w:tcPr>
            <w:tcW w:w="22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6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(19,279)</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Undistributed earnings of our foreign subsidiaries are considered to be permanently reinvested and accordingly, no deferred U.S. income taxes have been provided thereon. Upon distribution of those earnings in the form of dividends or otherwise, we would be subject to U.S. income tax. At the present time it is not practicable to estimate the amount of U.S. income taxes that might be payable if these earnings were repatriated.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380" w:type="dxa"/>
            <w:vAlign w:val="bottom"/>
            <w:tcBorders>
              <w:bottom w:val="single" w:sz="8" w:color="auto"/>
            </w:tcBorders>
          </w:tcPr>
          <w:p>
            <w:pPr>
              <w:spacing w:after="0"/>
              <w:rPr>
                <w:sz w:val="20"/>
                <w:szCs w:val="20"/>
                <w:color w:val="auto"/>
              </w:rPr>
            </w:pPr>
          </w:p>
        </w:tc>
      </w:tr>
      <w:tr>
        <w:trPr>
          <w:trHeight w:val="223"/>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w:t>
            </w:r>
          </w:p>
        </w:tc>
      </w:tr>
      <w:tr>
        <w:trPr>
          <w:trHeight w:val="230"/>
        </w:trPr>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increase - tax positions in prior periods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29"/>
        </w:trPr>
        <w:tc>
          <w:tcPr>
            <w:tcW w:w="5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decrease - tax positions in prior periods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increase - tax position in current period</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Lapses in statutes of limitations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22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w:t>
            </w:r>
          </w:p>
        </w:tc>
      </w:tr>
      <w:tr>
        <w:trPr>
          <w:trHeight w:val="20"/>
        </w:trPr>
        <w:tc>
          <w:tcPr>
            <w:tcW w:w="5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recognition of the unrecognized tax benefits would have a favorable effect on the effective tax rate. The unrecognized tax benefits as of December 31, 2025 included $0.5 million of tax benefits that, if recognized, would impact the effective tax rate in future periods. The Company recognizes interest and penalties related to uncertain tax positions as a component of income tax expense. The unrecognized tax benefits are recorded as a component of Other Liabilities in the Consolidated Balance Sheets. The total amount accrued for interest and penalties in the liability for uncertain tax positions was $0.5 million, $1.1 million and $0.8 million as of December 31, 2025, 2024 and 2023, respectively. Interest and penalties are recognized over uncertain tax positions that arose from income tax matters in Canada. The Company has substantially concluded all Canadian income tax matters through the year ended 2017. Years 2018 through present are open and subject to examination.</w:t>
      </w:r>
    </w:p>
    <w:p>
      <w:pPr>
        <w:spacing w:after="0" w:line="21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and its subsidiaries are subject to U.S. federal income tax as well as income tax of multiple state and foreign jurisdictions. As of December 31, 2025, the Company was subject to U.S. federal income tax examinations for the years 2022 through 2024 and income tax examinations from various other jurisdictions for the years 2018 through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Segment Information</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result of the Source Atlantic acquisition in the third quarter of 2024, discussed in Note 3 – Business and Asset Acquisitions, the Company realigned its reportable segments to align with its business strategy and the manner in which the CODM assesses performance and strategic execution and makes decisions regarding the allocation of resources. The Company’s CODM is the Chief Executive Officer of DSG. For each reportable segment, the CODM uses segment operating income (loss) to allocate resources (including employees and financial resources) in a way to manage and grow margins.</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Beginning in the third quarter of 2024, the Company has four reporting segments: Lawson, TestEquity, Gexpro Services and Canada Branch Division. Canada Branch Division includes the results of the Bolt and Source Atlantic subsidiaries. No changes were made to the Lawson, TestEquity and Gexpro Services reportable segments. For additional details about our segment realignment in the third quarter of 2024, see Note 1 – Nature of Operations and Basis of Presentation.</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segment realignment had no impact on our financial condition or results of operations. Prior period segment results have been recast to reflect our new reportable segments. A description of our reportable segments is as follows: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Lawson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distributor of specialty products and services to the industrial, commercial, institutional and governmental MRO marketplace. Lawson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distributes MRO products to its customers through a network of sales representatives and an inside sales channel throughout the United States and Canada.</w:t>
      </w:r>
    </w:p>
    <w:p>
      <w:pPr>
        <w:spacing w:after="0" w:line="20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TestEquity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distributor of test and measurement equipment and solutions, industrial and electronic production supplies, vendor managed inventory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and converting, fabrication and adhesive solutions from its leading manufacturer partners supporting the aerospace and defense, wireless and communication, semiconductors, industrial electronics and automotive, and electronics manufacturing industries.</w:t>
      </w:r>
    </w:p>
    <w:p>
      <w:pPr>
        <w:spacing w:after="0" w:line="20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Gexpro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global supply chain solutions provider, specializing in the development of mission critical production line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aftermarket and field installation programs.</w:t>
      </w:r>
    </w:p>
    <w:p>
      <w:pPr>
        <w:spacing w:after="0" w:line="18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Canada Branch Division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combines the operations of our Bolt and Source Atlantic subsidiaries, which distribute industrial MRO supplies, safety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fasteners, power tools and related value-add services to the Canadian MRO market through the sale of products and services via warehouse shipments and to its walk-up customers through 35 branch locations.</w:t>
      </w:r>
    </w:p>
    <w:p>
      <w:pPr>
        <w:spacing w:after="0" w:line="20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also has an “All Other” category which includes unallocated DSG holding company costs that are not directly attributable to the ongoing operating activities of our reportable segments. There is no revenue associated with the All Other category.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Financial information for the Company’s segments and reconciliations of that information to the consolidated financial statements is presented below.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5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Lawson</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481,088</w:t>
            </w:r>
          </w:p>
        </w:tc>
        <w:tc>
          <w:tcPr>
            <w:tcW w:w="52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468,711</w:t>
            </w:r>
          </w:p>
        </w:tc>
      </w:tr>
      <w:tr>
        <w:trPr>
          <w:trHeight w:val="229"/>
        </w:trPr>
        <w:tc>
          <w:tcPr>
            <w:tcW w:w="5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TestEquity</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783,237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771,180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641,768</w:t>
            </w:r>
          </w:p>
        </w:tc>
      </w:tr>
      <w:tr>
        <w:trPr>
          <w:trHeight w:val="230"/>
        </w:trPr>
        <w:tc>
          <w:tcPr>
            <w:tcW w:w="5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Gexpro Services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496,655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405,733</w:t>
            </w:r>
          </w:p>
        </w:tc>
      </w:tr>
      <w:tr>
        <w:trPr>
          <w:trHeight w:val="229"/>
        </w:trPr>
        <w:tc>
          <w:tcPr>
            <w:tcW w:w="5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Canada Branch Division</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125,099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55,890</w:t>
            </w:r>
          </w:p>
        </w:tc>
      </w:tr>
      <w:tr>
        <w:trPr>
          <w:trHeight w:val="229"/>
        </w:trPr>
        <w:tc>
          <w:tcPr>
            <w:tcW w:w="56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Intersegment revenue elimination</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w:t>
            </w:r>
          </w:p>
        </w:tc>
      </w:tr>
      <w:tr>
        <w:trPr>
          <w:trHeight w:val="248"/>
        </w:trPr>
        <w:tc>
          <w:tcPr>
            <w:tcW w:w="56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revenue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1,980,023</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1,804,104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1,570,402</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Lawson</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217,058</w:t>
            </w:r>
          </w:p>
        </w:tc>
        <w:tc>
          <w:tcPr>
            <w:tcW w:w="52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211,784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203,251</w:t>
            </w:r>
          </w:p>
        </w:tc>
      </w:tr>
      <w:tr>
        <w:trPr>
          <w:trHeight w:val="230"/>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TestEquity</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613,707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595,368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499,916</w:t>
            </w:r>
          </w:p>
        </w:tc>
      </w:tr>
      <w:tr>
        <w:trPr>
          <w:trHeight w:val="229"/>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Gexpro Services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284,664</w:t>
            </w:r>
          </w:p>
        </w:tc>
      </w:tr>
      <w:tr>
        <w:trPr>
          <w:trHeight w:val="229"/>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Canada Branch Division</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82,897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32,396</w:t>
            </w:r>
          </w:p>
        </w:tc>
      </w:tr>
      <w:tr>
        <w:trPr>
          <w:trHeight w:val="230"/>
        </w:trPr>
        <w:tc>
          <w:tcPr>
            <w:tcW w:w="5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Intersegment cost of goods sold elimination</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w:t>
            </w:r>
          </w:p>
        </w:tc>
      </w:tr>
      <w:tr>
        <w:trPr>
          <w:trHeight w:val="248"/>
        </w:trPr>
        <w:tc>
          <w:tcPr>
            <w:tcW w:w="56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cost of goods sold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1,317,985</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1,190,329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1,018,527</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Lawson</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245,267</w:t>
            </w:r>
          </w:p>
        </w:tc>
        <w:tc>
          <w:tcPr>
            <w:tcW w:w="52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232,962</w:t>
            </w:r>
          </w:p>
        </w:tc>
      </w:tr>
      <w:tr>
        <w:trPr>
          <w:trHeight w:val="229"/>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TestEquity</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171,845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158,317</w:t>
            </w:r>
          </w:p>
        </w:tc>
      </w:tr>
      <w:tr>
        <w:trPr>
          <w:trHeight w:val="23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Gexpro Services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94,069</w:t>
            </w:r>
          </w:p>
        </w:tc>
      </w:tr>
      <w:tr>
        <w:trPr>
          <w:trHeight w:val="229"/>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Canada Branch Division</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17,763</w:t>
            </w:r>
          </w:p>
        </w:tc>
      </w:tr>
      <w:tr>
        <w:trPr>
          <w:trHeight w:val="230"/>
        </w:trPr>
        <w:tc>
          <w:tcPr>
            <w:tcW w:w="5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All Other</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5,773</w:t>
            </w:r>
          </w:p>
        </w:tc>
      </w:tr>
      <w:tr>
        <w:trPr>
          <w:trHeight w:val="248"/>
        </w:trPr>
        <w:tc>
          <w:tcPr>
            <w:tcW w:w="56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583,775</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508,884</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5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Lawson</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18,763</w:t>
            </w:r>
          </w:p>
        </w:tc>
        <w:tc>
          <w:tcPr>
            <w:tcW w:w="52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32,498</w:t>
            </w:r>
          </w:p>
        </w:tc>
      </w:tr>
      <w:tr>
        <w:trPr>
          <w:trHeight w:val="230"/>
        </w:trPr>
        <w:tc>
          <w:tcPr>
            <w:tcW w:w="5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TestEquity</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(16,465)</w:t>
            </w:r>
          </w:p>
        </w:tc>
      </w:tr>
      <w:tr>
        <w:trPr>
          <w:trHeight w:val="230"/>
        </w:trPr>
        <w:tc>
          <w:tcPr>
            <w:tcW w:w="5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Gexpro Services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27,000</w:t>
            </w:r>
          </w:p>
        </w:tc>
      </w:tr>
      <w:tr>
        <w:trPr>
          <w:trHeight w:val="230"/>
        </w:trPr>
        <w:tc>
          <w:tcPr>
            <w:tcW w:w="5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Canada Branch Division</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5,731</w:t>
            </w:r>
          </w:p>
        </w:tc>
      </w:tr>
      <w:tr>
        <w:trPr>
          <w:trHeight w:val="229"/>
        </w:trPr>
        <w:tc>
          <w:tcPr>
            <w:tcW w:w="56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All Other</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(5,773)</w:t>
            </w:r>
          </w:p>
        </w:tc>
      </w:tr>
      <w:tr>
        <w:trPr>
          <w:trHeight w:val="248"/>
        </w:trPr>
        <w:tc>
          <w:tcPr>
            <w:tcW w:w="56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income (loss)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78,263</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42,991</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to income (loss) before income taxes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5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(55,352)</w:t>
            </w:r>
          </w:p>
        </w:tc>
        <w:tc>
          <w:tcPr>
            <w:tcW w:w="52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(42,774)</w:t>
            </w:r>
          </w:p>
        </w:tc>
      </w:tr>
      <w:tr>
        <w:trPr>
          <w:trHeight w:val="230"/>
        </w:trPr>
        <w:tc>
          <w:tcPr>
            <w:tcW w:w="5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earnout liabilities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30"/>
        </w:trPr>
        <w:tc>
          <w:tcPr>
            <w:tcW w:w="56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(2,982)</w:t>
            </w:r>
          </w:p>
        </w:tc>
      </w:tr>
      <w:tr>
        <w:trPr>
          <w:trHeight w:val="248"/>
        </w:trPr>
        <w:tc>
          <w:tcPr>
            <w:tcW w:w="56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Segment revenue includes revenue from sales to external customers and intersegment revenue from sales transactions between segments. The Company accounts for intersegment sales similar to third party transactions that are conducted on an arm’s-length basis and reflect current market prices. Intersegment revenue is eliminated in consolidation. Segment revenue and the elimination of intersegment revenue was as follows: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Gexpro</w:t>
            </w:r>
          </w:p>
        </w:tc>
        <w:tc>
          <w:tcPr>
            <w:tcW w:w="200" w:type="dxa"/>
            <w:vAlign w:val="bottom"/>
          </w:tcPr>
          <w:p>
            <w:pPr>
              <w:spacing w:after="0"/>
              <w:rPr>
                <w:sz w:val="17"/>
                <w:szCs w:val="17"/>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Canada</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Lawson</w:t>
            </w:r>
          </w:p>
        </w:tc>
        <w:tc>
          <w:tcPr>
            <w:tcW w:w="160" w:type="dxa"/>
            <w:vAlign w:val="bottom"/>
          </w:tcPr>
          <w:p>
            <w:pPr>
              <w:spacing w:after="0"/>
              <w:rPr>
                <w:sz w:val="15"/>
                <w:szCs w:val="15"/>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TestEquity</w:t>
            </w:r>
          </w:p>
        </w:tc>
        <w:tc>
          <w:tcPr>
            <w:tcW w:w="2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b w:val="1"/>
                <w:bCs w:val="1"/>
                <w:color w:val="auto"/>
              </w:rPr>
              <w:t>Branch</w:t>
            </w:r>
          </w:p>
        </w:tc>
        <w:tc>
          <w:tcPr>
            <w:tcW w:w="160" w:type="dxa"/>
            <w:vAlign w:val="bottom"/>
          </w:tcPr>
          <w:p>
            <w:pPr>
              <w:spacing w:after="0"/>
              <w:rPr>
                <w:sz w:val="15"/>
                <w:szCs w:val="15"/>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Elimination</w:t>
            </w:r>
          </w:p>
        </w:tc>
        <w:tc>
          <w:tcPr>
            <w:tcW w:w="260" w:type="dxa"/>
            <w:vAlign w:val="bottom"/>
          </w:tcPr>
          <w:p>
            <w:pPr>
              <w:spacing w:after="0"/>
              <w:rPr>
                <w:sz w:val="15"/>
                <w:szCs w:val="15"/>
                <w:color w:val="auto"/>
              </w:rPr>
            </w:pPr>
          </w:p>
        </w:tc>
        <w:tc>
          <w:tcPr>
            <w:tcW w:w="96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0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00" w:type="dxa"/>
            <w:vAlign w:val="bottom"/>
          </w:tcPr>
          <w:p>
            <w:pPr>
              <w:spacing w:after="0"/>
              <w:rPr>
                <w:sz w:val="21"/>
                <w:szCs w:val="21"/>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Division</w:t>
            </w:r>
          </w:p>
        </w:tc>
        <w:tc>
          <w:tcPr>
            <w:tcW w:w="160" w:type="dxa"/>
            <w:vAlign w:val="bottom"/>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480,768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782,367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495,495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221,393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1,980,023</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481,088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783,237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496,655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221,426</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1,980,023</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468,976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770,866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439,163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125,099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1,804,104</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469,044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771,180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440,723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125,099</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1,804,104</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468,379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641,643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404,490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55,890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1,570,402</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468,711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641,768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405,733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55,890</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1,570,402</w:t>
            </w: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assets by segment and long-lived assets by geographic area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tcBorders>
              <w:bottom w:val="single" w:sz="8" w:color="auto"/>
            </w:tcBorders>
          </w:tcPr>
          <w:p>
            <w:pPr>
              <w:spacing w:after="0"/>
              <w:rPr>
                <w:sz w:val="20"/>
                <w:szCs w:val="20"/>
                <w:color w:val="auto"/>
              </w:rPr>
            </w:pPr>
          </w:p>
        </w:tc>
      </w:tr>
      <w:tr>
        <w:trPr>
          <w:trHeight w:val="223"/>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by segment</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Lawson</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548,169</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524,077</w:t>
            </w:r>
          </w:p>
        </w:tc>
      </w:tr>
      <w:tr>
        <w:trPr>
          <w:trHeight w:val="229"/>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TestEquity</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624,829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654,315</w:t>
            </w:r>
          </w:p>
        </w:tc>
      </w:tr>
      <w:tr>
        <w:trPr>
          <w:trHeight w:val="230"/>
        </w:trPr>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Gexpro Services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351,552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331,811</w:t>
            </w:r>
          </w:p>
        </w:tc>
      </w:tr>
      <w:tr>
        <w:trPr>
          <w:trHeight w:val="229"/>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Canada Branch Division</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210,625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199,362</w:t>
            </w:r>
          </w:p>
        </w:tc>
      </w:tr>
      <w:tr>
        <w:trPr>
          <w:trHeight w:val="230"/>
        </w:trPr>
        <w:tc>
          <w:tcPr>
            <w:tcW w:w="7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All Other</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13,446</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17,690</w:t>
            </w:r>
          </w:p>
        </w:tc>
      </w:tr>
      <w:tr>
        <w:trPr>
          <w:trHeight w:val="248"/>
        </w:trPr>
        <w:tc>
          <w:tcPr>
            <w:tcW w:w="75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1,748,621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1,727,255</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30"/>
        </w:trPr>
        <w:tc>
          <w:tcPr>
            <w:tcW w:w="75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Long-lived assets by geographic area</w:t>
            </w:r>
            <w:r>
              <w:rPr>
                <w:rFonts w:ascii="Times New Roman" w:cs="Times New Roman" w:eastAsia="Times New Roman" w:hAnsi="Times New Roman"/>
                <w:sz w:val="23"/>
                <w:szCs w:val="23"/>
                <w:color w:val="auto"/>
                <w:vertAlign w:val="superscript"/>
              </w:rPr>
              <w:t>(1)</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796,554</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818,100</w:t>
            </w:r>
          </w:p>
        </w:tc>
      </w:tr>
      <w:tr>
        <w:trPr>
          <w:trHeight w:val="230"/>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Canada</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142,183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138,218</w:t>
            </w:r>
          </w:p>
        </w:tc>
      </w:tr>
      <w:tr>
        <w:trPr>
          <w:trHeight w:val="229"/>
        </w:trPr>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Europe</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30,345</w:t>
            </w:r>
          </w:p>
        </w:tc>
      </w:tr>
      <w:tr>
        <w:trPr>
          <w:trHeight w:val="230"/>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Pacific Rim</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w:t>
            </w:r>
          </w:p>
        </w:tc>
      </w:tr>
      <w:tr>
        <w:trPr>
          <w:trHeight w:val="230"/>
        </w:trPr>
        <w:tc>
          <w:tcPr>
            <w:tcW w:w="7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Latin America</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3,615</w:t>
            </w:r>
          </w:p>
        </w:tc>
      </w:tr>
      <w:tr>
        <w:trPr>
          <w:trHeight w:val="248"/>
        </w:trPr>
        <w:tc>
          <w:tcPr>
            <w:tcW w:w="75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978,934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995,029</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560" w:hanging="228"/>
        <w:spacing w:after="0"/>
        <w:tabs>
          <w:tab w:leader="none" w:pos="560"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Long-lived assets include property, plant and equipment, rental equipment, goodwill, intangibles, right of use operating lease assets, and other assets.</w:t>
      </w:r>
    </w:p>
    <w:p>
      <w:pPr>
        <w:spacing w:after="0" w:line="2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Note 4 – Revenue Recognition for disaggregated revenue by geographic area.</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Capital expenditures and depreciation and amortization by segment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Lawson</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9,459</w:t>
            </w:r>
          </w:p>
        </w:tc>
        <w:tc>
          <w:tcPr>
            <w:tcW w:w="54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w:t>
            </w:r>
          </w:p>
        </w:tc>
      </w:tr>
      <w:tr>
        <w:trPr>
          <w:trHeight w:val="230"/>
        </w:trPr>
        <w:tc>
          <w:tcPr>
            <w:tcW w:w="5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TestEquity</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r>
      <w:tr>
        <w:trPr>
          <w:trHeight w:val="229"/>
        </w:trPr>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Gexpro Services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5,053</w:t>
            </w:r>
          </w:p>
        </w:tc>
      </w:tr>
      <w:tr>
        <w:trPr>
          <w:trHeight w:val="229"/>
        </w:trPr>
        <w:tc>
          <w:tcPr>
            <w:tcW w:w="5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Canada Branch Division</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30"/>
        </w:trPr>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All Other</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68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40,495</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15,337</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Lawson</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27,074</w:t>
            </w:r>
          </w:p>
        </w:tc>
        <w:tc>
          <w:tcPr>
            <w:tcW w:w="54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19,532</w:t>
            </w:r>
          </w:p>
        </w:tc>
      </w:tr>
      <w:tr>
        <w:trPr>
          <w:trHeight w:val="229"/>
        </w:trPr>
        <w:tc>
          <w:tcPr>
            <w:tcW w:w="5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TestEquity</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26,002</w:t>
            </w:r>
          </w:p>
        </w:tc>
      </w:tr>
      <w:tr>
        <w:trPr>
          <w:trHeight w:val="229"/>
        </w:trPr>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Gexpro Services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15,986</w:t>
            </w:r>
          </w:p>
        </w:tc>
      </w:tr>
      <w:tr>
        <w:trPr>
          <w:trHeight w:val="230"/>
        </w:trPr>
        <w:tc>
          <w:tcPr>
            <w:tcW w:w="5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Canada Branch Division</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r>
      <w:tr>
        <w:trPr>
          <w:trHeight w:val="229"/>
        </w:trPr>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All Other</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68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80,879</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63,588</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a party to various legal proceedings that have arisen in the ordinary course of business. The Company records accruals for loss contingencies when losses are probable and reasonably estimable. The Company is not currently aware of any litigation matters or loss contingencies that would reasonably be expected to have a material adverse effect on our business, financial position, results of operations or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provides a 401(k) defined contribution plan to allow employees a pre-tax investment vehicle to save for retirement. The Company made contributions to the 401(k) plan of $9.4 million, $7.5 million and $7.2 million for the years ended December 31, 2025, 2024 and 2023,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Related Party Transactions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Consulting Services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Individuals employed by LKCM Headwater Operations, LLC, a related party of LKCM, have provided the Company with certain consulting services for interim executive management in addition to assisting in identifying cost savings, revenue enhancements and operational synergies of the combined companies. For the years ended December 31, 2025, 2024 and 2023, expense of $1.1 million, $1.2 million and $0.6 million, respectively, was recorded in Selling, general and administrative expenses within the Consolidated Statements of Operations and Comprehensive Income (Loss), reflecting expenses incurred for these consulting services.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Executive Office Lease</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Company’s headquarters move to Fort Worth, Texas in 2023, the Company has been utilizing office space in a building that is leased by LKCM. The Company is not charged any rent or other amounts for the use of the office space.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Shareholder</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LKCM, entities affiliated with LKCM and J. Bryan King (President and Chief Executive Officer of DSG and Chairman of the DSG Board of Directors), including private investment partnerships for which LKCM serves as investment manager,</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beneficially owned in the aggregate approximately 36.4 million shares of DSG common stock as of December 31, 2025, representing approximately 78.7% of the outstanding shares of DSG common stock as of December 31, 2025.</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Rights Offering</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entities affiliated with LKCM and J. Bryan King exercised their basic subscription rights and over-subscription rights in the Rights Offering and purchased approximately 3.6 million additional shares of DSG common stock at a purchase price of $22.50 per share. Following the completion of the Rights Offering on May 30, 2023, entities affiliated with LKCM and Mr. King beneficially owned in the aggregate approximately 36.4 million shares of DSG common stock as of June 1, 2023, representing approximately 78.7% of the outstanding shares of DSG common stock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Distribution Solutions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roll forward of valuation accounts were as follows (in thousands):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Balance at</w:t>
            </w:r>
          </w:p>
        </w:tc>
        <w:tc>
          <w:tcPr>
            <w:tcW w:w="120" w:type="dxa"/>
            <w:vAlign w:val="bottom"/>
          </w:tcPr>
          <w:p>
            <w:pPr>
              <w:spacing w:after="0"/>
              <w:rPr>
                <w:sz w:val="17"/>
                <w:szCs w:val="17"/>
                <w:color w:val="auto"/>
              </w:rPr>
            </w:pPr>
          </w:p>
        </w:tc>
        <w:tc>
          <w:tcPr>
            <w:tcW w:w="15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color w:val="auto"/>
                <w:w w:val="99"/>
              </w:rPr>
              <w:t>Charged to Costs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Balance at End of</w:t>
            </w:r>
          </w:p>
        </w:tc>
        <w:tc>
          <w:tcPr>
            <w:tcW w:w="0" w:type="dxa"/>
            <w:vAlign w:val="bottom"/>
          </w:tcPr>
          <w:p>
            <w:pPr>
              <w:spacing w:after="0"/>
              <w:rPr>
                <w:sz w:val="1"/>
                <w:szCs w:val="1"/>
                <w:color w:val="auto"/>
              </w:rPr>
            </w:pPr>
          </w:p>
        </w:tc>
      </w:tr>
      <w:tr>
        <w:trPr>
          <w:trHeight w:val="176"/>
        </w:trPr>
        <w:tc>
          <w:tcPr>
            <w:tcW w:w="4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00" w:type="dxa"/>
            <w:vAlign w:val="bottom"/>
            <w:gridSpan w:val="2"/>
          </w:tcPr>
          <w:p>
            <w:pPr>
              <w:jc w:val="center"/>
              <w:ind w:right="420"/>
              <w:spacing w:after="0" w:line="176" w:lineRule="exact"/>
              <w:rPr>
                <w:sz w:val="20"/>
                <w:szCs w:val="20"/>
                <w:color w:val="auto"/>
              </w:rPr>
            </w:pPr>
            <w:r>
              <w:rPr>
                <w:rFonts w:ascii="Times New Roman" w:cs="Times New Roman" w:eastAsia="Times New Roman" w:hAnsi="Times New Roman"/>
                <w:sz w:val="18"/>
                <w:szCs w:val="18"/>
                <w:color w:val="auto"/>
              </w:rPr>
              <w:t>Beginning of</w:t>
            </w:r>
          </w:p>
        </w:tc>
        <w:tc>
          <w:tcPr>
            <w:tcW w:w="1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Period</w:t>
            </w:r>
          </w:p>
        </w:tc>
        <w:tc>
          <w:tcPr>
            <w:tcW w:w="120" w:type="dxa"/>
            <w:vAlign w:val="bottom"/>
          </w:tcPr>
          <w:p>
            <w:pPr>
              <w:spacing w:after="0"/>
              <w:rPr>
                <w:sz w:val="21"/>
                <w:szCs w:val="21"/>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and Expenses</w:t>
            </w:r>
          </w:p>
        </w:tc>
        <w:tc>
          <w:tcPr>
            <w:tcW w:w="220" w:type="dxa"/>
            <w:vAlign w:val="bottom"/>
          </w:tcPr>
          <w:p>
            <w:pPr>
              <w:spacing w:after="0"/>
              <w:rPr>
                <w:sz w:val="21"/>
                <w:szCs w:val="21"/>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Deductions</w:t>
            </w:r>
          </w:p>
        </w:tc>
        <w:tc>
          <w:tcPr>
            <w:tcW w:w="300" w:type="dxa"/>
            <w:vAlign w:val="bottom"/>
          </w:tcPr>
          <w:p>
            <w:pPr>
              <w:spacing w:after="0"/>
              <w:rPr>
                <w:sz w:val="21"/>
                <w:szCs w:val="21"/>
                <w:color w:val="auto"/>
              </w:rPr>
            </w:pPr>
          </w:p>
        </w:tc>
        <w:tc>
          <w:tcPr>
            <w:tcW w:w="11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Period</w:t>
            </w:r>
          </w:p>
        </w:tc>
        <w:tc>
          <w:tcPr>
            <w:tcW w:w="0" w:type="dxa"/>
            <w:vAlign w:val="bottom"/>
          </w:tcPr>
          <w:p>
            <w:pPr>
              <w:spacing w:after="0"/>
              <w:rPr>
                <w:sz w:val="1"/>
                <w:szCs w:val="1"/>
                <w:color w:val="auto"/>
              </w:rPr>
            </w:pPr>
          </w:p>
        </w:tc>
      </w:tr>
      <w:tr>
        <w:trPr>
          <w:trHeight w:val="223"/>
        </w:trPr>
        <w:tc>
          <w:tcPr>
            <w:tcW w:w="40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Valuation allowance for deferred tax assets:</w:t>
            </w:r>
          </w:p>
        </w:tc>
        <w:tc>
          <w:tcPr>
            <w:tcW w:w="6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Period ended December 31, 2025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14,868</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2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19,279</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Period ended December 31, 2024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6,411</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14,868</w:t>
            </w:r>
          </w:p>
        </w:tc>
        <w:tc>
          <w:tcPr>
            <w:tcW w:w="0" w:type="dxa"/>
            <w:vAlign w:val="bottom"/>
          </w:tcPr>
          <w:p>
            <w:pPr>
              <w:spacing w:after="0"/>
              <w:rPr>
                <w:sz w:val="1"/>
                <w:szCs w:val="1"/>
                <w:color w:val="auto"/>
              </w:rPr>
            </w:pPr>
          </w:p>
        </w:tc>
      </w:tr>
      <w:tr>
        <w:trPr>
          <w:trHeight w:val="234"/>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Period ended December 31, 2023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24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320" w:top="121" w:right="1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Securities Exchange Act of 1934, as amended (the “Exchange Act”), as of the end of the period covered by this annual report (“the Evaluation Date”). Based on this evaluation, our Chief Executive Officer and Chief Financial Officer concluded as of the Evaluation Date that our disclosure controls and procedures were effective as of December 31,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Company management is responsible for establishing and maintaining adequate internal control over financial reporting for the Company as defined in Rule 13a-15(f) under the Exchange Act. This system, which management has chosen to base on the framework set forth in the 2013 Internal Control-Integrated Framework, published by the Committee of Sponsoring Organizations of the Treadway Commission (“COSO”), is under the supervision of our Chief Executive Officer and Chief Financial Officer, is effected by the Company’s Board of Directors, management and other personnel, and is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21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the directors of the Company; and (3) provide reasonable assurance regarding prevention or timely detection of unauthorized acquisition, use, or disposition of the Company’s assets that could have a material effect on the financial statements.</w:t>
      </w:r>
    </w:p>
    <w:p>
      <w:pPr>
        <w:spacing w:after="0" w:line="21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Because of its inherent limitations, a system of internal control over financial reporting can provide only reasonable assurance and may not prevent or detect misstatements. Further, because of changes in conditions, effectiveness of internal controls over financial reporting may vary over time.</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Company management assessed the effectiveness of the Company’s internal control over financial reporting as of December 31, 2025. Based on this assessment, management determined that the Company maintained effective internal control over financial reporting as of December 31, 2025.</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Grant Thornton LLP, the independent registered public accounting firm that has audited the consolidated financial statements included in this Annual Report on Form 10-K, has issued an attestation report on the Company’s internal control over financial reporting as of December 31, 2025. That report is included below.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fourth quarter of 2025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control system, no matter how well designed and operated, can provide only reasonable, not absolute, assurance that the control system’s objectives will be met. Because of its inherent limitations, internal control over financial reporting may not prevent or detect all control issues or misstatements, accordingly, our controls and procedures are designed to provide reasonable, not absolute, assurance that the objectives of our control system are met.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Solutions Group, Inc.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Distribution Solutions Group, Inc. (a Delaware corporation) and subsidiaries (the “Company”) as of December 31, 2025, based on criteria established in the 2013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the 2013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COSO.</w:t>
      </w:r>
    </w:p>
    <w:p>
      <w:pPr>
        <w:spacing w:after="0" w:line="21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Company as of and for the year ended December 31, 2025, and our report dated March 5, 2026 expressed an unqualified opinion on those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2026</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5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31, 2025, none of our directors or officers adopted or terminated a “Rule 10b5-1 trading arrangement” or a “non-Rule 10b5-1 trading arrangement” (as such terms are defined under Item 408 of Regulation S-K).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DISCLOSURES REGARDING FOREIGN JURISDICTIONS THAT PREVENT INSPECTIONS.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52" w:lineRule="exact"/>
        <w:rPr>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Directors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Company’s Proxy Statement for the 2026 Annual Meeting of Stockholders to be held on May 14, 2026, under the captions “Proposal 1: Election of Directors,” “Corporate Governance,” and “Section 16(a) Beneficial Ownership Reporting Compliance,” which information is incorporated herein by reference.</w:t>
      </w:r>
    </w:p>
    <w:p>
      <w:pPr>
        <w:spacing w:after="0" w:line="199" w:lineRule="exact"/>
        <w:rPr>
          <w:sz w:val="20"/>
          <w:szCs w:val="20"/>
          <w:color w:val="auto"/>
        </w:rPr>
      </w:pPr>
    </w:p>
    <w:p>
      <w:pPr>
        <w:ind w:left="640" w:hanging="308"/>
        <w:spacing w:after="0"/>
        <w:tabs>
          <w:tab w:leader="none" w:pos="640" w:val="left"/>
        </w:tabs>
        <w:numPr>
          <w:ilvl w:val="0"/>
          <w:numId w:val="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Executive Officers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is set forth in Item 1 of Part I of this report, under the caption “Information About Our Executive Officers.”</w:t>
      </w:r>
    </w:p>
    <w:p>
      <w:pPr>
        <w:spacing w:after="0" w:line="248" w:lineRule="exact"/>
        <w:rPr>
          <w:sz w:val="20"/>
          <w:szCs w:val="20"/>
          <w:color w:val="auto"/>
        </w:rPr>
      </w:pPr>
    </w:p>
    <w:p>
      <w:pPr>
        <w:ind w:left="640" w:hanging="308"/>
        <w:spacing w:after="0"/>
        <w:tabs>
          <w:tab w:leader="none" w:pos="640"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Audit Committee</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Information on the Company’s Audit Committee required by this Item will be contained under the caption “Board of Directors Meetings and Committees” in the Company’s Proxy Statement for the Annual Meeting of Stockholders to be held on May 14, 2026, which information is incorporated herein by reference.</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Board of Directors has determined that Lee Hillman, a member of the Audit Committee of the Board of Directors, qualifies as an “audit committee financial expert” as defined in Item 407(d)(5)(ii) of Regulation S-K, and that Mr. Hillman is “independent” as the term is defined in the listing standards of the Nasdaq Global Select Market.</w:t>
      </w:r>
    </w:p>
    <w:p>
      <w:pPr>
        <w:spacing w:after="0" w:line="199" w:lineRule="exact"/>
        <w:rPr>
          <w:sz w:val="20"/>
          <w:szCs w:val="20"/>
          <w:color w:val="auto"/>
        </w:rPr>
      </w:pPr>
    </w:p>
    <w:p>
      <w:pPr>
        <w:ind w:left="640" w:hanging="308"/>
        <w:spacing w:after="0"/>
        <w:tabs>
          <w:tab w:leader="none" w:pos="640"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Code of Business Conduct</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adopted a Code of Business Conduct applicable to all employees and sales representatives. The Company’s Code of Business Conduct is applicable to senior financial executives including the principal executive officer, principal financial officer and principal accounting officer of the Company. The Company’s Code of Business Conduct is available on the Corporate Governance page in the Investor Relations section of the Company’s website at </w:t>
      </w:r>
      <w:r>
        <w:rPr>
          <w:rFonts w:ascii="Times New Roman" w:cs="Times New Roman" w:eastAsia="Times New Roman" w:hAnsi="Times New Roman"/>
          <w:sz w:val="18"/>
          <w:szCs w:val="18"/>
          <w:i w:val="1"/>
          <w:iCs w:val="1"/>
          <w:color w:val="auto"/>
        </w:rPr>
        <w:t>http://www.distributionsolutionsgroup.com</w:t>
      </w:r>
      <w:r>
        <w:rPr>
          <w:rFonts w:ascii="Times New Roman" w:cs="Times New Roman" w:eastAsia="Times New Roman" w:hAnsi="Times New Roman"/>
          <w:sz w:val="18"/>
          <w:szCs w:val="18"/>
          <w:color w:val="auto"/>
        </w:rPr>
        <w:t>. The Company intends to post on its website any amendments to, or waivers from its Code of Business Conduct applicable to senior financial executives. The Company will provide any persons with a copy of its Code of Business Conduct without charge upon written request directed to the Company’s Secretary at the Company’s address.</w:t>
      </w:r>
    </w:p>
    <w:p>
      <w:pPr>
        <w:spacing w:after="0" w:line="210" w:lineRule="exact"/>
        <w:rPr>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Insider Trading Policies and Procedures</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an insider trading policy governing the purchase, sale and other dispositions of the Company’s securities that applies to all Company personnel, including directors, officers, employees, and other covered persons. The policy also applies to the Company. The Company believes that its insider trading policy is reasonably designed to promote compliance with insider trading laws, rules, and regulations, and NASDAQ listing standards applicable to the Company. A copy of the Company’s insider trading policy was previously filed as Exhibit 19 to the Company’s Annual Report on Form 10-K filed on March 6, 2025. The remaining information required by this Item 10 will be set forth in the Company’s Proxy Statement for the 2026 Annual Meeting of Stockholders to be held on May 14, 2026, under the caption “Corporate Governance,” which information is incorporated herein by reference.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will be set forth in the Company’s Proxy Statement for the 2026 Annual Meeting of Stockholders to be held on May 14, 2026, under the captions “Remuneration of Executive Officers,” “Compensation Discussion and Analysis,” “Executive Compensation,” “Policies and Practices Related to the Grant of Certain Equity Awards,” and “Director Compensation in 2025.”</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820" w:right="420" w:hanging="809"/>
        <w:spacing w:after="0" w:line="286" w:lineRule="auto"/>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1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relating to Security Ownership of Certain Beneficial Owners will be set forth in the Company’s Proxy Statement for the 2026 Annual Meeting of Stockholders to be held on May 14, 2026, under the caption “Share Ownership of Certain Beneficial Owners and Management,” which information is incorporated herein by reference.</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2025 regarding the number of shares of DSG common stock that were available for issuance under the Company’s equity compensation plans. Refer to Note 10 – Stock-Based Compensation within Item 8. Financial Statements and Supplementary Data for further information about the Company’s equity compensation plans.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8"/>
          <w:szCs w:val="18"/>
          <w:color w:val="auto"/>
        </w:rPr>
        <w:t>Plan category</w:t>
      </w:r>
    </w:p>
    <w:p>
      <w:pPr>
        <w:spacing w:after="0" w:line="36" w:lineRule="exact"/>
        <w:rPr>
          <w:sz w:val="20"/>
          <w:szCs w:val="20"/>
          <w:color w:val="auto"/>
        </w:rPr>
      </w:pPr>
    </w:p>
    <w:p>
      <w:pPr>
        <w:ind w:left="180" w:hanging="161"/>
        <w:spacing w:after="0" w:line="268" w:lineRule="auto"/>
        <w:rPr>
          <w:sz w:val="20"/>
          <w:szCs w:val="20"/>
          <w:color w:val="auto"/>
        </w:rPr>
      </w:pPr>
      <w:r>
        <w:rPr>
          <w:rFonts w:ascii="Times New Roman" w:cs="Times New Roman" w:eastAsia="Times New Roman" w:hAnsi="Times New Roman"/>
          <w:sz w:val="18"/>
          <w:szCs w:val="18"/>
          <w:color w:val="auto"/>
        </w:rPr>
        <w:t>Equity compensation plans approved by stockholders Stock options</w:t>
      </w:r>
    </w:p>
    <w:p>
      <w:pPr>
        <w:ind w:left="180"/>
        <w:spacing w:after="0" w:line="223" w:lineRule="auto"/>
        <w:rPr>
          <w:sz w:val="20"/>
          <w:szCs w:val="20"/>
          <w:color w:val="auto"/>
        </w:rPr>
      </w:pPr>
      <w:r>
        <w:rPr>
          <w:rFonts w:ascii="Times New Roman" w:cs="Times New Roman" w:eastAsia="Times New Roman" w:hAnsi="Times New Roman"/>
          <w:sz w:val="18"/>
          <w:szCs w:val="18"/>
          <w:color w:val="auto"/>
        </w:rPr>
        <w:t xml:space="preserve">Other stock units </w:t>
      </w:r>
      <w:r>
        <w:rPr>
          <w:rFonts w:ascii="Times New Roman" w:cs="Times New Roman" w:eastAsia="Times New Roman" w:hAnsi="Times New Roman"/>
          <w:sz w:val="23"/>
          <w:szCs w:val="23"/>
          <w:color w:val="auto"/>
          <w:vertAlign w:val="superscript"/>
        </w:rPr>
        <w:t>(1)</w:t>
      </w:r>
    </w:p>
    <w:p>
      <w:pPr>
        <w:ind w:left="20" w:right="680"/>
        <w:spacing w:after="0" w:line="226" w:lineRule="auto"/>
        <w:rPr>
          <w:sz w:val="20"/>
          <w:szCs w:val="20"/>
          <w:color w:val="auto"/>
        </w:rPr>
      </w:pPr>
      <w:r>
        <w:rPr>
          <w:rFonts w:ascii="Times New Roman" w:cs="Times New Roman" w:eastAsia="Times New Roman" w:hAnsi="Times New Roman"/>
          <w:sz w:val="18"/>
          <w:szCs w:val="18"/>
          <w:color w:val="auto"/>
        </w:rPr>
        <w:t>Equity compensation plans not approved by stockholders</w:t>
      </w:r>
    </w:p>
    <w:p>
      <w:pPr>
        <w:spacing w:after="0" w:line="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 securities remaining</w:t>
            </w:r>
          </w:p>
        </w:tc>
        <w:tc>
          <w:tcPr>
            <w:tcW w:w="0" w:type="dxa"/>
            <w:vAlign w:val="bottom"/>
          </w:tcPr>
          <w:p>
            <w:pPr>
              <w:spacing w:after="0"/>
              <w:rPr>
                <w:sz w:val="1"/>
                <w:szCs w:val="1"/>
                <w:color w:val="auto"/>
              </w:rPr>
            </w:pPr>
          </w:p>
        </w:tc>
      </w:tr>
      <w:tr>
        <w:trPr>
          <w:trHeight w:val="189"/>
        </w:trPr>
        <w:tc>
          <w:tcPr>
            <w:tcW w:w="2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Number of securities to be issued</w:t>
            </w:r>
          </w:p>
        </w:tc>
        <w:tc>
          <w:tcPr>
            <w:tcW w:w="140" w:type="dxa"/>
            <w:vAlign w:val="bottom"/>
          </w:tcPr>
          <w:p>
            <w:pPr>
              <w:spacing w:after="0"/>
              <w:rPr>
                <w:sz w:val="16"/>
                <w:szCs w:val="16"/>
                <w:color w:val="auto"/>
              </w:rPr>
            </w:pPr>
          </w:p>
        </w:tc>
        <w:tc>
          <w:tcPr>
            <w:tcW w:w="178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color w:val="auto"/>
                <w:w w:val="98"/>
              </w:rPr>
              <w:t>Weighted-average</w:t>
            </w:r>
          </w:p>
        </w:tc>
        <w:tc>
          <w:tcPr>
            <w:tcW w:w="2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available for future issuance</w:t>
            </w:r>
          </w:p>
        </w:tc>
        <w:tc>
          <w:tcPr>
            <w:tcW w:w="0" w:type="dxa"/>
            <w:vAlign w:val="bottom"/>
          </w:tcPr>
          <w:p>
            <w:pPr>
              <w:spacing w:after="0"/>
              <w:rPr>
                <w:sz w:val="1"/>
                <w:szCs w:val="1"/>
                <w:color w:val="auto"/>
              </w:rPr>
            </w:pPr>
          </w:p>
        </w:tc>
      </w:tr>
      <w:tr>
        <w:trPr>
          <w:trHeight w:val="176"/>
        </w:trPr>
        <w:tc>
          <w:tcPr>
            <w:tcW w:w="25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9"/>
              </w:rPr>
              <w:t>exercise price of</w:t>
            </w:r>
          </w:p>
        </w:tc>
        <w:tc>
          <w:tcPr>
            <w:tcW w:w="2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under equity compensation plans</w:t>
            </w:r>
          </w:p>
        </w:tc>
        <w:tc>
          <w:tcPr>
            <w:tcW w:w="0" w:type="dxa"/>
            <w:vAlign w:val="bottom"/>
          </w:tcPr>
          <w:p>
            <w:pPr>
              <w:spacing w:after="0"/>
              <w:rPr>
                <w:sz w:val="1"/>
                <w:szCs w:val="1"/>
                <w:color w:val="auto"/>
              </w:rPr>
            </w:pPr>
          </w:p>
        </w:tc>
      </w:tr>
      <w:tr>
        <w:trPr>
          <w:trHeight w:val="189"/>
        </w:trPr>
        <w:tc>
          <w:tcPr>
            <w:tcW w:w="25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rPr>
              <w:t>upon exercise of outstanding</w:t>
            </w:r>
          </w:p>
        </w:tc>
        <w:tc>
          <w:tcPr>
            <w:tcW w:w="140" w:type="dxa"/>
            <w:vAlign w:val="bottom"/>
          </w:tcPr>
          <w:p>
            <w:pPr>
              <w:spacing w:after="0"/>
              <w:rPr>
                <w:sz w:val="16"/>
                <w:szCs w:val="16"/>
                <w:color w:val="auto"/>
              </w:rPr>
            </w:pPr>
          </w:p>
        </w:tc>
        <w:tc>
          <w:tcPr>
            <w:tcW w:w="178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color w:val="auto"/>
                <w:w w:val="99"/>
              </w:rPr>
              <w:t>outstanding options,</w:t>
            </w:r>
          </w:p>
        </w:tc>
        <w:tc>
          <w:tcPr>
            <w:tcW w:w="2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(excluding securities reflected in</w:t>
            </w:r>
          </w:p>
        </w:tc>
        <w:tc>
          <w:tcPr>
            <w:tcW w:w="0" w:type="dxa"/>
            <w:vAlign w:val="bottom"/>
          </w:tcPr>
          <w:p>
            <w:pPr>
              <w:spacing w:after="0"/>
              <w:rPr>
                <w:sz w:val="1"/>
                <w:szCs w:val="1"/>
                <w:color w:val="auto"/>
              </w:rPr>
            </w:pPr>
          </w:p>
        </w:tc>
      </w:tr>
      <w:tr>
        <w:trPr>
          <w:trHeight w:val="230"/>
        </w:trPr>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options, warrants and rights</w:t>
            </w:r>
          </w:p>
        </w:tc>
        <w:tc>
          <w:tcPr>
            <w:tcW w:w="140" w:type="dxa"/>
            <w:vAlign w:val="bottom"/>
          </w:tcPr>
          <w:p>
            <w:pPr>
              <w:spacing w:after="0"/>
              <w:rPr>
                <w:sz w:val="19"/>
                <w:szCs w:val="19"/>
                <w:color w:val="auto"/>
              </w:rPr>
            </w:pP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warrants and rights</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first column)</w:t>
            </w:r>
          </w:p>
        </w:tc>
        <w:tc>
          <w:tcPr>
            <w:tcW w:w="0" w:type="dxa"/>
            <w:vAlign w:val="bottom"/>
          </w:tcPr>
          <w:p>
            <w:pPr>
              <w:spacing w:after="0"/>
              <w:rPr>
                <w:sz w:val="1"/>
                <w:szCs w:val="1"/>
                <w:color w:val="auto"/>
              </w:rPr>
            </w:pPr>
          </w:p>
        </w:tc>
      </w:tr>
      <w:tr>
        <w:trPr>
          <w:trHeight w:val="448"/>
        </w:trPr>
        <w:tc>
          <w:tcPr>
            <w:tcW w:w="2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2,314,939</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100" w:type="dxa"/>
            <w:vAlign w:val="bottom"/>
          </w:tcPr>
          <w:p>
            <w:pPr>
              <w:spacing w:after="0"/>
              <w:rPr>
                <w:sz w:val="24"/>
                <w:szCs w:val="24"/>
                <w:color w:val="auto"/>
              </w:rPr>
            </w:pPr>
          </w:p>
        </w:tc>
        <w:tc>
          <w:tcPr>
            <w:tcW w:w="24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N/A</w:t>
            </w: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2,851,537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100" w:type="dxa"/>
            <w:vAlign w:val="bottom"/>
          </w:tcPr>
          <w:p>
            <w:pPr>
              <w:spacing w:after="0"/>
              <w:rPr>
                <w:sz w:val="19"/>
                <w:szCs w:val="19"/>
                <w:color w:val="auto"/>
              </w:rPr>
            </w:pPr>
          </w:p>
        </w:tc>
        <w:tc>
          <w:tcPr>
            <w:tcW w:w="2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140,962</w:t>
            </w:r>
          </w:p>
        </w:tc>
        <w:tc>
          <w:tcPr>
            <w:tcW w:w="0" w:type="dxa"/>
            <w:vAlign w:val="bottom"/>
          </w:tcPr>
          <w:p>
            <w:pPr>
              <w:spacing w:after="0"/>
              <w:rPr>
                <w:sz w:val="1"/>
                <w:szCs w:val="1"/>
                <w:color w:val="auto"/>
              </w:rPr>
            </w:pPr>
          </w:p>
        </w:tc>
      </w:tr>
      <w:tr>
        <w:trPr>
          <w:trHeight w:val="21"/>
        </w:trPr>
        <w:tc>
          <w:tcPr>
            <w:tcW w:w="2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-599440</wp:posOffset>
            </wp:positionV>
            <wp:extent cx="7132320"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-187960</wp:posOffset>
            </wp:positionV>
            <wp:extent cx="713232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-899795</wp:posOffset>
            </wp:positionV>
            <wp:extent cx="7132320"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04" w:lineRule="exact"/>
        <w:rPr>
          <w:sz w:val="20"/>
          <w:szCs w:val="20"/>
          <w:color w:val="auto"/>
        </w:rPr>
      </w:pPr>
    </w:p>
    <w:p>
      <w:pPr>
        <w:sectPr>
          <w:pgSz w:w="11900" w:h="16838" w:orient="portrait"/>
          <w:cols w:equalWidth="0" w:num="2">
            <w:col w:w="3860" w:space="400"/>
            <w:col w:w="6980"/>
          </w:cols>
          <w:pgMar w:left="320" w:top="121" w:right="339" w:bottom="1440" w:gutter="0" w:footer="0" w:header="0"/>
          <w:type w:val="continuous"/>
        </w:sectPr>
      </w:pPr>
    </w:p>
    <w:p>
      <w:pPr>
        <w:ind w:left="640" w:hanging="308"/>
        <w:spacing w:after="0"/>
        <w:tabs>
          <w:tab w:leader="none" w:pos="640"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potential DSG common stock issuance of 406,311 from restricted stock units and 130,287 from market stock units.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Company’s Proxy Statement for the 2026 Annual Meeting of Stockholders to be held on May 14, 2026, under the captions “Proposal 1: Election of Directors” and “Certain Relationships and Related Transactions,” which information is incorporated herein by reference.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3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information required under this Item will be set forth in the Company’s Proxy Statement for the 2026 Annual Meeting of Stockholders to be held on May 14, 2026, under the caption “Fees Billed to the Company by Grant Thornton, LLP,” which information is incorporated herein by reference. The information set forth under the subcaption “Report of the Audit Committee of the Board of Directors” should not be deemed filed nor should it be incorporated by reference into any other filing under the Securities Act of 1933, as amended, or the Exchange Act except to the extent the Company specifically incorporates such report by reference therein.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1" w:name="page92"/>
    <w:bookmarkEnd w:id="91"/>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56" w:lineRule="exact"/>
        <w:rPr>
          <w:sz w:val="20"/>
          <w:szCs w:val="20"/>
          <w:color w:val="auto"/>
        </w:rPr>
      </w:pPr>
    </w:p>
    <w:p>
      <w:pPr>
        <w:ind w:left="380" w:hanging="372"/>
        <w:spacing w:after="0"/>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See Index to Financial Statements and Supplementary Data in Item 8 on page </w:t>
      </w:r>
      <w:r>
        <w:rPr>
          <w:rFonts w:ascii="Times New Roman" w:cs="Times New Roman" w:eastAsia="Times New Roman" w:hAnsi="Times New Roman"/>
          <w:sz w:val="18"/>
          <w:szCs w:val="18"/>
          <w:u w:val="single" w:color="auto"/>
          <w:color w:val="0000FF"/>
        </w:rPr>
        <w:t>40</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740" w:hanging="546"/>
        <w:spacing w:after="0" w:line="282" w:lineRule="auto"/>
        <w:tabs>
          <w:tab w:leader="none" w:pos="58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financial statement schedules are omitted because they are inapplicable, not required under the instructions, or the information is reflected in the financial statements or notes thereto.</w:t>
      </w:r>
    </w:p>
    <w:p>
      <w:pPr>
        <w:spacing w:after="0" w:line="188" w:lineRule="exact"/>
        <w:rPr>
          <w:rFonts w:ascii="Times New Roman" w:cs="Times New Roman" w:eastAsia="Times New Roman" w:hAnsi="Times New Roman"/>
          <w:sz w:val="18"/>
          <w:szCs w:val="18"/>
          <w:color w:val="auto"/>
        </w:rPr>
      </w:pPr>
    </w:p>
    <w:p>
      <w:pPr>
        <w:ind w:left="580" w:hanging="392"/>
        <w:spacing w:after="0"/>
        <w:tabs>
          <w:tab w:leader="none" w:pos="5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66"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940" w:type="dxa"/>
            <w:vAlign w:val="bottom"/>
            <w:gridSpan w:val="8"/>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vMerge w:val="restart"/>
          </w:tcPr>
          <w:p>
            <w:pPr>
              <w:spacing w:after="0"/>
              <w:rPr>
                <w:sz w:val="17"/>
                <w:szCs w:val="17"/>
                <w:color w:val="auto"/>
              </w:rPr>
            </w:pPr>
          </w:p>
        </w:tc>
        <w:tc>
          <w:tcPr>
            <w:tcW w:w="6280" w:type="dxa"/>
            <w:vAlign w:val="bottom"/>
            <w:gridSpan w:val="30"/>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0" w:type="dxa"/>
            <w:vAlign w:val="bottom"/>
          </w:tcPr>
          <w:p>
            <w:pPr>
              <w:spacing w:after="0"/>
              <w:rPr>
                <w:sz w:val="1"/>
                <w:szCs w:val="1"/>
                <w:color w:val="auto"/>
              </w:rPr>
            </w:pPr>
          </w:p>
        </w:tc>
      </w:tr>
      <w:tr>
        <w:trPr>
          <w:trHeight w:val="189"/>
        </w:trPr>
        <w:tc>
          <w:tcPr>
            <w:tcW w:w="940" w:type="dxa"/>
            <w:vAlign w:val="bottom"/>
            <w:gridSpan w:val="8"/>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6280" w:type="dxa"/>
            <w:vAlign w:val="bottom"/>
            <w:gridSpan w:val="3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20" w:type="dxa"/>
            <w:vAlign w:val="bottom"/>
            <w:gridSpan w:val="2"/>
            <w:shd w:val="clear" w:color="auto" w:fill="000000"/>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1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6"/>
          </w:tcPr>
          <w:p>
            <w:pPr>
              <w:jc w:val="center"/>
              <w:ind w:right="460"/>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hyperlink>
          </w:p>
        </w:tc>
        <w:tc>
          <w:tcPr>
            <w:tcW w:w="10420" w:type="dxa"/>
            <w:vAlign w:val="bottom"/>
            <w:gridSpan w:val="37"/>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Agreement and Plan of Merger, dated as of December 29, 2021, by and among LKCM TE Investors, LLC, TestEquity Acquisition, LLC,</w:t>
              </w:r>
            </w:hyperlink>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320" w:type="dxa"/>
            <w:vAlign w:val="bottom"/>
            <w:tcBorders>
              <w:top w:val="single" w:sz="8" w:color="0000FF"/>
              <w:bottom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Lawson Products, Inc. and Tide Sub, LLC, incorporated by reference to Exhibit 2.1 to the Company’s Current Report on Form 8-K (File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0" w:type="dxa"/>
            <w:vAlign w:val="bottom"/>
            <w:gridSpan w:val="36"/>
          </w:tcPr>
          <w:p>
            <w:pPr>
              <w:spacing w:after="0" w:line="169"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No. 000-10546) filed on January 4, 2022.</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6"/>
          </w:tcPr>
          <w:p>
            <w:pPr>
              <w:jc w:val="center"/>
              <w:ind w:right="460"/>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2†</w:t>
              </w:r>
            </w:hyperlink>
          </w:p>
        </w:tc>
        <w:tc>
          <w:tcPr>
            <w:tcW w:w="10420" w:type="dxa"/>
            <w:vAlign w:val="bottom"/>
            <w:gridSpan w:val="37"/>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Agreement and Plan of Merger, dated as of December 29, 2021, by and among 301 HW Opus Investors, LLC, 301 HW Opus Holdings,</w:t>
              </w:r>
            </w:hyperlink>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38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Inc., Lawson Products, Inc. and Gulf Sub, Inc., incorporated by reference to Exhibit 2.2 to the Company’s Current Report on Form 8-K</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98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(File No. 000-10546) filed on January 4, 2022.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6"/>
          </w:tcPr>
          <w:p>
            <w:pPr>
              <w:jc w:val="center"/>
              <w:ind w:right="460"/>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3†</w:t>
              </w:r>
            </w:hyperlink>
          </w:p>
        </w:tc>
        <w:tc>
          <w:tcPr>
            <w:tcW w:w="10420" w:type="dxa"/>
            <w:vAlign w:val="bottom"/>
            <w:gridSpan w:val="37"/>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Stock Purchase Agreement, dated as of March 30, 2023, by and among HIS Company, Inc., Distribution Solutions Group, Inc., HIS</w:t>
              </w:r>
            </w:hyperlink>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2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Company, Inc. Employee Stock Ownership Trust, which is maintained pursuant to and in connection with the HIS Company, Inc.</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100" w:type="dxa"/>
            <w:vAlign w:val="bottom"/>
            <w:tcBorders>
              <w:bottom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Employee Stock Ownership Plan, acting through GreatBanc Trust Company, not in its corporate capacity, but solely in its capacity as</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140" w:type="dxa"/>
            <w:vAlign w:val="bottom"/>
            <w:tcBorders>
              <w:bottom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trustee of HIS Company, Inc. Employee Stock Ownership Trust, and Ellis Moseley, solely in his capacity as the representative of HIS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360" w:type="dxa"/>
            <w:vAlign w:val="bottom"/>
            <w:gridSpan w:val="34"/>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Company, Inc. Employee Stock Ownership Trust, incorporated by reference to Exhibit 2.1 to the Company’s Current Report on Form 8-K</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8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(File No. 000-10546) filed on March 31, 2023.</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gridSpan w:val="5"/>
          </w:tcPr>
          <w:p>
            <w:pPr>
              <w:jc w:val="center"/>
              <w:ind w:left="50"/>
              <w:spacing w:after="0"/>
              <w:rPr>
                <w:rFonts w:ascii="Times New Roman" w:cs="Times New Roman" w:eastAsia="Times New Roman" w:hAnsi="Times New Roman"/>
                <w:sz w:val="18"/>
                <w:szCs w:val="18"/>
                <w:color w:val="0000FF"/>
                <w:w w:val="97"/>
              </w:rPr>
            </w:pPr>
            <w:hyperlink r:id="rId110">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20" w:type="dxa"/>
            <w:vAlign w:val="bottom"/>
            <w:gridSpan w:val="37"/>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Third Amended and Restated Certificate of Incorporation of the Company, effective as of August 31, 2023, incorporated by reference to</w:t>
              </w:r>
            </w:hyperlink>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6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10">
              <w:r>
                <w:rPr>
                  <w:rFonts w:ascii="Times New Roman" w:cs="Times New Roman" w:eastAsia="Times New Roman" w:hAnsi="Times New Roman"/>
                  <w:sz w:val="18"/>
                  <w:szCs w:val="18"/>
                  <w:color w:val="0000FF"/>
                  <w:w w:val="99"/>
                </w:rPr>
                <w:t>Exhibit 3.1 to the Company’s Current Report on Form 8-K (File No. 000-10546) filed on September 1, 2023.</w:t>
              </w:r>
            </w:hyperlink>
          </w:p>
        </w:tc>
        <w:tc>
          <w:tcPr>
            <w:tcW w:w="232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0" w:type="dxa"/>
            <w:vAlign w:val="bottom"/>
            <w:gridSpan w:val="5"/>
          </w:tcPr>
          <w:p>
            <w:pPr>
              <w:jc w:val="center"/>
              <w:ind w:left="50"/>
              <w:spacing w:after="0"/>
              <w:rPr>
                <w:rFonts w:ascii="Times New Roman" w:cs="Times New Roman" w:eastAsia="Times New Roman" w:hAnsi="Times New Roman"/>
                <w:sz w:val="18"/>
                <w:szCs w:val="18"/>
                <w:color w:val="0000FF"/>
                <w:w w:val="97"/>
              </w:rPr>
            </w:pPr>
            <w:hyperlink r:id="rId111">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20" w:type="dxa"/>
            <w:vAlign w:val="bottom"/>
            <w:gridSpan w:val="37"/>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Amended and Restated By-Laws of the Company effective as of May 5, 2022, incorporated by reference to Exhibit 3.2 to the Company’s</w:t>
              </w:r>
            </w:hyperlink>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6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11">
              <w:r>
                <w:rPr>
                  <w:rFonts w:ascii="Times New Roman" w:cs="Times New Roman" w:eastAsia="Times New Roman" w:hAnsi="Times New Roman"/>
                  <w:sz w:val="18"/>
                  <w:szCs w:val="18"/>
                  <w:color w:val="0000FF"/>
                  <w:w w:val="99"/>
                </w:rPr>
                <w:t>Current Report on Form 8-K (File No. 000-10546) filed on May 5, 2022.</w:t>
              </w:r>
            </w:hyperlink>
          </w:p>
        </w:tc>
        <w:tc>
          <w:tcPr>
            <w:tcW w:w="496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0" w:type="dxa"/>
            <w:vAlign w:val="bottom"/>
            <w:gridSpan w:val="6"/>
          </w:tcPr>
          <w:p>
            <w:pPr>
              <w:jc w:val="center"/>
              <w:ind w:left="30"/>
              <w:spacing w:after="0"/>
              <w:rPr>
                <w:sz w:val="20"/>
                <w:szCs w:val="20"/>
                <w:color w:val="auto"/>
              </w:rPr>
            </w:pPr>
            <w:r>
              <w:rPr>
                <w:rFonts w:ascii="Times New Roman" w:cs="Times New Roman" w:eastAsia="Times New Roman" w:hAnsi="Times New Roman"/>
                <w:sz w:val="18"/>
                <w:szCs w:val="18"/>
                <w:color w:val="0000FF"/>
                <w:w w:val="98"/>
              </w:rPr>
              <w:t>4.</w:t>
            </w:r>
            <w:r>
              <w:rPr>
                <w:rFonts w:ascii="Times New Roman" w:cs="Times New Roman" w:eastAsia="Times New Roman" w:hAnsi="Times New Roman"/>
                <w:sz w:val="18"/>
                <w:szCs w:val="18"/>
                <w:u w:val="single" w:color="auto"/>
                <w:color w:val="0000FF"/>
                <w:w w:val="98"/>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Description of common stock</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gridSpan w:val="6"/>
          </w:tcPr>
          <w:p>
            <w:pPr>
              <w:jc w:val="center"/>
              <w:ind w:left="30"/>
              <w:spacing w:after="0"/>
              <w:rPr>
                <w:rFonts w:ascii="Times New Roman" w:cs="Times New Roman" w:eastAsia="Times New Roman" w:hAnsi="Times New Roman"/>
                <w:sz w:val="18"/>
                <w:szCs w:val="18"/>
                <w:color w:val="0000FF"/>
                <w:w w:val="98"/>
              </w:rPr>
            </w:pPr>
            <w:hyperlink r:id="rId112">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w:t>
              </w:r>
            </w:hyperlink>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20" w:type="dxa"/>
            <w:vAlign w:val="bottom"/>
            <w:gridSpan w:val="37"/>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Lawson Products, Inc. Executive Deferral Plan (as Amended and Restated Effective November 1, 2015), incorporated by reference to</w:t>
              </w:r>
            </w:hyperlink>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4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Exhibit 10.4 to the Company’s Quarterly Report on Form 10-Q (File No. 000-10546) for the quarter ended September 30, 2021, filed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6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October 28, 2021.</w:t>
              </w:r>
            </w:hyperlink>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gridSpan w:val="6"/>
          </w:tcPr>
          <w:p>
            <w:pPr>
              <w:jc w:val="center"/>
              <w:ind w:left="30"/>
              <w:spacing w:after="0"/>
              <w:rPr>
                <w:rFonts w:ascii="Times New Roman" w:cs="Times New Roman" w:eastAsia="Times New Roman" w:hAnsi="Times New Roman"/>
                <w:sz w:val="18"/>
                <w:szCs w:val="18"/>
                <w:color w:val="0000FF"/>
                <w:w w:val="98"/>
              </w:rPr>
            </w:pPr>
            <w:hyperlink r:id="rId113">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w:t>
              </w:r>
            </w:hyperlink>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20" w:type="dxa"/>
            <w:vAlign w:val="bottom"/>
            <w:gridSpan w:val="37"/>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Lawson Products, Inc. Amended Stock Performance Plan (as Amended and Restated Effective January 24, 2017), incorporated by</w:t>
              </w:r>
            </w:hyperlink>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34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reference to Exhibit 10.5 to the Company’s Quarterly Report on Form 10-Q (File No. 000-10546) for the quarter ended September 30,</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4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2021, filed on October 28, 2021.</w:t>
              </w:r>
            </w:hyperlink>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gridSpan w:val="6"/>
          </w:tcPr>
          <w:p>
            <w:pPr>
              <w:jc w:val="center"/>
              <w:ind w:left="30"/>
              <w:spacing w:after="0"/>
              <w:rPr>
                <w:rFonts w:ascii="Times New Roman" w:cs="Times New Roman" w:eastAsia="Times New Roman" w:hAnsi="Times New Roman"/>
                <w:sz w:val="18"/>
                <w:szCs w:val="18"/>
                <w:color w:val="0000FF"/>
                <w:w w:val="98"/>
              </w:rPr>
            </w:pPr>
            <w:hyperlink r:id="rId114">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w:t>
              </w:r>
            </w:hyperlink>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20" w:type="dxa"/>
            <w:vAlign w:val="bottom"/>
            <w:gridSpan w:val="37"/>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Amendment of the Lawson Products, Inc. Amended Stock Performance Plan (as Amended and Restated Effective January 24, 2017),</w:t>
              </w:r>
            </w:hyperlink>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30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dated December 23, 2020, incorporated by reference to Exhibit 10.23 to the Company’s Annual Report on Form 10-K (File No. 000-</w:t>
              </w:r>
            </w:hyperlink>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4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10546) for the fiscal year ended December 31, 2020, filed on February 26, 2021.</w:t>
              </w:r>
            </w:hyperlink>
          </w:p>
        </w:tc>
        <w:tc>
          <w:tcPr>
            <w:tcW w:w="4160" w:type="dxa"/>
            <w:vAlign w:val="bottom"/>
            <w:tcBorders>
              <w:top w:val="single" w:sz="8" w:color="0000FF"/>
            </w:tcBorders>
            <w:gridSpan w:val="7"/>
          </w:tcPr>
          <w:p>
            <w:pPr>
              <w:spacing w:after="0"/>
              <w:rPr>
                <w:sz w:val="14"/>
                <w:szCs w:val="14"/>
                <w:color w:val="auto"/>
              </w:rPr>
            </w:pPr>
          </w:p>
        </w:tc>
        <w:tc>
          <w:tcPr>
            <w:tcW w:w="12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20" w:type="dxa"/>
            <w:vAlign w:val="bottom"/>
            <w:gridSpan w:val="6"/>
          </w:tcPr>
          <w:p>
            <w:pPr>
              <w:jc w:val="center"/>
              <w:ind w:left="30"/>
              <w:spacing w:after="0"/>
              <w:rPr>
                <w:rFonts w:ascii="Times New Roman" w:cs="Times New Roman" w:eastAsia="Times New Roman" w:hAnsi="Times New Roman"/>
                <w:sz w:val="18"/>
                <w:szCs w:val="18"/>
                <w:color w:val="0000FF"/>
                <w:w w:val="98"/>
              </w:rPr>
            </w:pPr>
            <w:hyperlink r:id="rId115">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4*</w:t>
              </w:r>
            </w:hyperlink>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20" w:type="dxa"/>
            <w:vAlign w:val="bottom"/>
            <w:gridSpan w:val="37"/>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Form Letter regarding Stock Performance Rights, incorporated by reference to Exhibit 10(c)(16) to the Company’s Annual Report on</w:t>
              </w:r>
            </w:hyperlink>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96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Form 10-K (File No. 000-10546) for the fiscal year ended December 31, 2004, filed on March 16, 2005.</w:t>
              </w:r>
            </w:hyperlink>
          </w:p>
        </w:tc>
        <w:tc>
          <w:tcPr>
            <w:tcW w:w="16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6020" w:type="dxa"/>
            <w:vAlign w:val="bottom"/>
            <w:gridSpan w:val="8"/>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gridSpan w:val="6"/>
          </w:tcPr>
          <w:p>
            <w:pPr>
              <w:jc w:val="center"/>
              <w:ind w:left="30"/>
              <w:spacing w:after="0"/>
              <w:rPr>
                <w:rFonts w:ascii="Times New Roman" w:cs="Times New Roman" w:eastAsia="Times New Roman" w:hAnsi="Times New Roman"/>
                <w:sz w:val="18"/>
                <w:szCs w:val="18"/>
                <w:color w:val="0000FF"/>
                <w:w w:val="98"/>
              </w:rPr>
            </w:pPr>
            <w:hyperlink r:id="rId116">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5*</w:t>
              </w:r>
            </w:hyperlink>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20" w:type="dxa"/>
            <w:vAlign w:val="bottom"/>
            <w:gridSpan w:val="37"/>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Distribution Solutions Group, Inc. Equity Compensation Plan (amended and restated effective October 17, 2022, as amended November</w:t>
              </w:r>
            </w:hyperlink>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160" w:type="dxa"/>
            <w:vAlign w:val="bottom"/>
            <w:tcBorders>
              <w:top w:val="single" w:sz="8" w:color="0000FF"/>
              <w:bottom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10, 2022), incorporated by reference to Exhibit 10.1 to the Company’s Current Report on Form 8-K (File No. 000-10546) filed on</w:t>
              </w:r>
            </w:hyperlink>
          </w:p>
        </w:tc>
        <w:tc>
          <w:tcPr>
            <w:tcW w:w="40" w:type="dxa"/>
            <w:vAlign w:val="bottom"/>
            <w:tcBorders>
              <w:bottom w:val="single" w:sz="8" w:color="0000FF"/>
            </w:tcBorders>
            <w:gridSpan w:val="2"/>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Borders>
              <w:bottom w:val="single" w:sz="8" w:color="0000FF"/>
            </w:tcBorders>
            <w:gridSpan w:val="2"/>
          </w:tcPr>
          <w:p>
            <w:pPr>
              <w:spacing w:after="0" w:line="169" w:lineRule="exact"/>
              <w:rPr>
                <w:rFonts w:ascii="Times New Roman" w:cs="Times New Roman" w:eastAsia="Times New Roman" w:hAnsi="Times New Roman"/>
                <w:sz w:val="18"/>
                <w:szCs w:val="18"/>
                <w:color w:val="0000FF"/>
                <w:w w:val="98"/>
              </w:rPr>
            </w:pPr>
            <w:hyperlink r:id="rId116">
              <w:r>
                <w:rPr>
                  <w:rFonts w:ascii="Times New Roman" w:cs="Times New Roman" w:eastAsia="Times New Roman" w:hAnsi="Times New Roman"/>
                  <w:sz w:val="18"/>
                  <w:szCs w:val="18"/>
                  <w:color w:val="0000FF"/>
                  <w:w w:val="98"/>
                </w:rPr>
                <w:t>November 18, 2022.</w:t>
              </w:r>
            </w:hyperlink>
          </w:p>
        </w:tc>
        <w:tc>
          <w:tcPr>
            <w:tcW w:w="8780" w:type="dxa"/>
            <w:vAlign w:val="bottom"/>
            <w:gridSpan w:val="27"/>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20" w:type="dxa"/>
            <w:vAlign w:val="bottom"/>
            <w:gridSpan w:val="6"/>
          </w:tcPr>
          <w:p>
            <w:pPr>
              <w:jc w:val="center"/>
              <w:ind w:left="30"/>
              <w:spacing w:after="0"/>
              <w:rPr>
                <w:rFonts w:ascii="Times New Roman" w:cs="Times New Roman" w:eastAsia="Times New Roman" w:hAnsi="Times New Roman"/>
                <w:sz w:val="18"/>
                <w:szCs w:val="18"/>
                <w:color w:val="0000FF"/>
                <w:w w:val="98"/>
              </w:rPr>
            </w:pPr>
            <w:hyperlink r:id="rId117">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6*</w:t>
              </w:r>
            </w:hyperlink>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20" w:type="dxa"/>
            <w:vAlign w:val="bottom"/>
            <w:gridSpan w:val="37"/>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Form of Award Agreement under the 2009 Equity Compensation Plan (now known as the Distribution Solutions Group, Inc. Equity</w:t>
              </w:r>
            </w:hyperlink>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Compensation Plan) (Target Units, SPRs and Restricted Units), incorporated by reference to Exhibit 10.11 to the Company’s Quarterly</w:t>
              </w:r>
            </w:hyperlink>
          </w:p>
        </w:tc>
        <w:tc>
          <w:tcPr>
            <w:tcW w:w="80" w:type="dxa"/>
            <w:vAlign w:val="bottom"/>
            <w:gridSpan w:val="4"/>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180" w:type="dxa"/>
            <w:vAlign w:val="bottom"/>
            <w:tcBorders>
              <w:top w:val="single" w:sz="8" w:color="0000FF"/>
              <w:bottom w:val="single" w:sz="8" w:color="0000FF"/>
            </w:tcBorders>
            <w:gridSpan w:val="12"/>
          </w:tcPr>
          <w:p>
            <w:pPr>
              <w:spacing w:after="0" w:line="169"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Report on Form 10-Q (File No. 000-10546) for the quarter ended September 30, 2021, filed on October 28, 2021.</w:t>
              </w:r>
            </w:hyperlink>
          </w:p>
        </w:tc>
        <w:tc>
          <w:tcPr>
            <w:tcW w:w="1940" w:type="dxa"/>
            <w:vAlign w:val="bottom"/>
            <w:tcBorders>
              <w:top w:val="single" w:sz="8" w:color="0000FF"/>
            </w:tcBorders>
            <w:gridSpan w:val="10"/>
          </w:tcPr>
          <w:p>
            <w:pPr>
              <w:spacing w:after="0"/>
              <w:rPr>
                <w:sz w:val="14"/>
                <w:szCs w:val="14"/>
                <w:color w:val="auto"/>
              </w:rPr>
            </w:pPr>
          </w:p>
        </w:tc>
        <w:tc>
          <w:tcPr>
            <w:tcW w:w="160" w:type="dxa"/>
            <w:vAlign w:val="bottom"/>
            <w:gridSpan w:val="8"/>
          </w:tcPr>
          <w:p>
            <w:pPr>
              <w:spacing w:after="0"/>
              <w:rPr>
                <w:sz w:val="14"/>
                <w:szCs w:val="14"/>
                <w:color w:val="auto"/>
              </w:rPr>
            </w:pPr>
          </w:p>
        </w:tc>
        <w:tc>
          <w:tcPr>
            <w:tcW w:w="1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0" w:type="dxa"/>
            <w:vAlign w:val="bottom"/>
            <w:gridSpan w:val="6"/>
          </w:tcPr>
          <w:p>
            <w:pPr>
              <w:jc w:val="center"/>
              <w:ind w:left="30"/>
              <w:spacing w:after="0"/>
              <w:rPr>
                <w:rFonts w:ascii="Times New Roman" w:cs="Times New Roman" w:eastAsia="Times New Roman" w:hAnsi="Times New Roman"/>
                <w:sz w:val="18"/>
                <w:szCs w:val="18"/>
                <w:color w:val="0000FF"/>
                <w:w w:val="98"/>
              </w:rPr>
            </w:pPr>
            <w:hyperlink r:id="rId118">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7*</w:t>
              </w:r>
            </w:hyperlink>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20" w:type="dxa"/>
            <w:vAlign w:val="bottom"/>
            <w:gridSpan w:val="37"/>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Form of Award Agreement under the 2009 Equity Compensation Plan (now known as the Distribution Solutions Group, Inc. Equity</w:t>
              </w:r>
            </w:hyperlink>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0" w:type="dxa"/>
            <w:vAlign w:val="bottom"/>
            <w:tcBorders>
              <w:top w:val="single" w:sz="8" w:color="0000FF"/>
              <w:bottom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Compensation Plan) (MSU Target Units, ROIC Target Units and Restricted Units), incorporated by reference to Exhibit 10.12 to the</w:t>
              </w:r>
            </w:hyperlink>
          </w:p>
        </w:tc>
        <w:tc>
          <w:tcPr>
            <w:tcW w:w="80" w:type="dxa"/>
            <w:vAlign w:val="bottom"/>
            <w:tcBorders>
              <w:bottom w:val="single" w:sz="8" w:color="0000FF"/>
            </w:tcBorders>
            <w:gridSpan w:val="4"/>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780" w:type="dxa"/>
            <w:vAlign w:val="bottom"/>
            <w:tcBorders>
              <w:bottom w:val="single" w:sz="8" w:color="0000FF"/>
            </w:tcBorders>
            <w:gridSpan w:val="13"/>
          </w:tcPr>
          <w:p>
            <w:pPr>
              <w:spacing w:after="0" w:line="169"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Company’s Quarterly Report on Form 10-Q (File No. 000-10546) for the quarter ended September 30, 2021, filed on October 28, 2021.</w:t>
              </w:r>
            </w:hyperlink>
          </w:p>
        </w:tc>
        <w:tc>
          <w:tcPr>
            <w:tcW w:w="500" w:type="dxa"/>
            <w:vAlign w:val="bottom"/>
            <w:gridSpan w:val="17"/>
          </w:tcPr>
          <w:p>
            <w:pPr>
              <w:spacing w:after="0"/>
              <w:rPr>
                <w:sz w:val="14"/>
                <w:szCs w:val="14"/>
                <w:color w:val="auto"/>
              </w:rPr>
            </w:pPr>
          </w:p>
        </w:tc>
        <w:tc>
          <w:tcPr>
            <w:tcW w:w="1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520" w:type="dxa"/>
            <w:vAlign w:val="bottom"/>
            <w:gridSpan w:val="6"/>
          </w:tcPr>
          <w:p>
            <w:pPr>
              <w:jc w:val="center"/>
              <w:ind w:left="30"/>
              <w:spacing w:after="0"/>
              <w:rPr>
                <w:rFonts w:ascii="Times New Roman" w:cs="Times New Roman" w:eastAsia="Times New Roman" w:hAnsi="Times New Roman"/>
                <w:sz w:val="18"/>
                <w:szCs w:val="18"/>
                <w:u w:val="single" w:color="auto"/>
                <w:color w:val="0000FF"/>
                <w:w w:val="98"/>
              </w:rPr>
            </w:pPr>
            <w:hyperlink r:id="rId119">
              <w:r>
                <w:rPr>
                  <w:rFonts w:ascii="Times New Roman" w:cs="Times New Roman" w:eastAsia="Times New Roman" w:hAnsi="Times New Roman"/>
                  <w:sz w:val="18"/>
                  <w:szCs w:val="18"/>
                  <w:u w:val="single" w:color="auto"/>
                  <w:color w:val="0000FF"/>
                  <w:w w:val="98"/>
                </w:rPr>
                <w:t>10.8*</w:t>
              </w:r>
            </w:hyperlink>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20" w:type="dxa"/>
            <w:vAlign w:val="bottom"/>
            <w:gridSpan w:val="37"/>
          </w:tcPr>
          <w:p>
            <w:pPr>
              <w:spacing w:after="0"/>
              <w:rPr>
                <w:rFonts w:ascii="Times New Roman" w:cs="Times New Roman" w:eastAsia="Times New Roman" w:hAnsi="Times New Roman"/>
                <w:sz w:val="18"/>
                <w:szCs w:val="18"/>
                <w:u w:val="single" w:color="auto"/>
                <w:color w:val="0000FF"/>
              </w:rPr>
            </w:pPr>
            <w:hyperlink r:id="rId119">
              <w:r>
                <w:rPr>
                  <w:rFonts w:ascii="Times New Roman" w:cs="Times New Roman" w:eastAsia="Times New Roman" w:hAnsi="Times New Roman"/>
                  <w:sz w:val="18"/>
                  <w:szCs w:val="18"/>
                  <w:u w:val="single" w:color="auto"/>
                  <w:color w:val="0000FF"/>
                </w:rPr>
                <w:t>Form of Award Agreement under the 2009 Equity Compensation Plan (now known as the Distribution Solutions Group, Inc. Equity</w:t>
              </w:r>
            </w:hyperlink>
          </w:p>
        </w:tc>
        <w:tc>
          <w:tcPr>
            <w:tcW w:w="0" w:type="dxa"/>
            <w:vAlign w:val="bottom"/>
          </w:tcPr>
          <w:p>
            <w:pPr>
              <w:spacing w:after="0"/>
              <w:rPr>
                <w:sz w:val="1"/>
                <w:szCs w:val="1"/>
                <w:color w:val="auto"/>
              </w:rPr>
            </w:pPr>
          </w:p>
        </w:tc>
      </w:tr>
    </w:tbl>
    <w:p>
      <w:pPr>
        <w:ind w:left="1240" w:right="20"/>
        <w:spacing w:after="0" w:line="233" w:lineRule="auto"/>
        <w:rPr>
          <w:rFonts w:ascii="Times New Roman" w:cs="Times New Roman" w:eastAsia="Times New Roman" w:hAnsi="Times New Roman"/>
          <w:sz w:val="18"/>
          <w:szCs w:val="18"/>
          <w:u w:val="single" w:color="auto"/>
          <w:color w:val="0000FF"/>
        </w:rPr>
      </w:pPr>
      <w:hyperlink r:id="rId119">
        <w:r>
          <w:rPr>
            <w:rFonts w:ascii="Times New Roman" w:cs="Times New Roman" w:eastAsia="Times New Roman" w:hAnsi="Times New Roman"/>
            <w:sz w:val="18"/>
            <w:szCs w:val="18"/>
            <w:u w:val="single" w:color="auto"/>
            <w:color w:val="0000FF"/>
          </w:rPr>
          <w:t>Compensation Plan) (MSU Target Units, ROIC Target Units and Restricted Units), incorporated by reference to Exhibit 10.13 to the</w:t>
        </w:r>
      </w:hyperlink>
      <w:r>
        <w:rPr>
          <w:rFonts w:ascii="Times New Roman" w:cs="Times New Roman" w:eastAsia="Times New Roman" w:hAnsi="Times New Roman"/>
          <w:sz w:val="18"/>
          <w:szCs w:val="18"/>
          <w:u w:val="single" w:color="auto"/>
          <w:color w:val="0000FF"/>
        </w:rPr>
        <w:t xml:space="preserve"> </w:t>
      </w:r>
      <w:hyperlink r:id="rId119">
        <w:r>
          <w:rPr>
            <w:rFonts w:ascii="Times New Roman" w:cs="Times New Roman" w:eastAsia="Times New Roman" w:hAnsi="Times New Roman"/>
            <w:sz w:val="18"/>
            <w:szCs w:val="18"/>
            <w:u w:val="single" w:color="auto"/>
            <w:color w:val="0000FF"/>
          </w:rPr>
          <w:t>Company’s Quarterly Report on Form 10-Q (File No. 000-10546) for the quarter ended September 30, 2021, filed on October 28, 2021.</w:t>
        </w:r>
      </w:hyperlink>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2" w:name="page93"/>
    <w:bookmarkEnd w:id="92"/>
    <w:p>
      <w:pPr>
        <w:jc w:val="right"/>
        <w:ind w:left="420" w:right="20"/>
        <w:spacing w:after="0" w:line="222" w:lineRule="auto"/>
        <w:rPr>
          <w:rFonts w:ascii="Times New Roman" w:cs="Times New Roman" w:eastAsia="Times New Roman" w:hAnsi="Times New Roman"/>
          <w:sz w:val="18"/>
          <w:szCs w:val="18"/>
          <w:u w:val="single" w:color="auto"/>
          <w:color w:val="0000FF"/>
        </w:rPr>
      </w:pPr>
      <w:hyperlink r:id="rId121">
        <w:r>
          <w:rPr>
            <w:rFonts w:ascii="Times New Roman" w:cs="Times New Roman" w:eastAsia="Times New Roman" w:hAnsi="Times New Roman"/>
            <w:sz w:val="18"/>
            <w:szCs w:val="18"/>
            <w:u w:val="single" w:color="auto"/>
            <w:color w:val="0000FF"/>
          </w:rPr>
          <w:t>10.9*     Form of Option Award Agreement dated as of August 22, 2023 under the Distribution Solutions Group, Inc. Equity Compensation Plan,</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as amended on November 10, 2022, incorporated by reference to Exhibit 10.9 to the Company’s Annual Report of Form 10-K (File No.</w:t>
        </w:r>
      </w:hyperlink>
    </w:p>
    <w:p>
      <w:pPr>
        <w:spacing w:after="0" w:line="2" w:lineRule="exact"/>
        <w:rPr>
          <w:sz w:val="20"/>
          <w:szCs w:val="20"/>
          <w:color w:val="auto"/>
        </w:rPr>
      </w:pPr>
    </w:p>
    <w:p>
      <w:pPr>
        <w:ind w:left="1240"/>
        <w:spacing w:after="0"/>
        <w:rPr>
          <w:rFonts w:ascii="Times New Roman" w:cs="Times New Roman" w:eastAsia="Times New Roman" w:hAnsi="Times New Roman"/>
          <w:sz w:val="18"/>
          <w:szCs w:val="18"/>
          <w:u w:val="single" w:color="auto"/>
          <w:color w:val="0000FF"/>
        </w:rPr>
      </w:pPr>
      <w:hyperlink r:id="rId121">
        <w:r>
          <w:rPr>
            <w:rFonts w:ascii="Times New Roman" w:cs="Times New Roman" w:eastAsia="Times New Roman" w:hAnsi="Times New Roman"/>
            <w:sz w:val="18"/>
            <w:szCs w:val="18"/>
            <w:u w:val="single" w:color="auto"/>
            <w:color w:val="0000FF"/>
          </w:rPr>
          <w:t>000-10546) filed on March 7, 2024.</w:t>
        </w:r>
      </w:hyperlink>
    </w:p>
    <w:p>
      <w:pPr>
        <w:spacing w:after="0" w:line="7" w:lineRule="exact"/>
        <w:rPr>
          <w:sz w:val="20"/>
          <w:szCs w:val="20"/>
          <w:color w:val="auto"/>
        </w:rPr>
      </w:pPr>
    </w:p>
    <w:p>
      <w:pPr>
        <w:jc w:val="right"/>
        <w:ind w:left="360" w:right="20"/>
        <w:spacing w:after="0" w:line="220" w:lineRule="auto"/>
        <w:rPr>
          <w:rFonts w:ascii="Times New Roman" w:cs="Times New Roman" w:eastAsia="Times New Roman" w:hAnsi="Times New Roman"/>
          <w:sz w:val="18"/>
          <w:szCs w:val="18"/>
          <w:u w:val="single" w:color="auto"/>
          <w:color w:val="0000FF"/>
        </w:rPr>
      </w:pPr>
      <w:hyperlink r:id="rId122">
        <w:r>
          <w:rPr>
            <w:rFonts w:ascii="Times New Roman" w:cs="Times New Roman" w:eastAsia="Times New Roman" w:hAnsi="Times New Roman"/>
            <w:sz w:val="18"/>
            <w:szCs w:val="18"/>
            <w:u w:val="single" w:color="auto"/>
            <w:color w:val="0000FF"/>
          </w:rPr>
          <w:t>10.10*    Form of Option Award Agreement dated as of January 27, 2023 under the Distribution Solutions Group, Inc. Equity Compensation Plan,</w:t>
        </w:r>
      </w:hyperlink>
      <w:r>
        <w:rPr>
          <w:rFonts w:ascii="Times New Roman" w:cs="Times New Roman" w:eastAsia="Times New Roman" w:hAnsi="Times New Roman"/>
          <w:sz w:val="18"/>
          <w:szCs w:val="18"/>
          <w:u w:val="single" w:color="auto"/>
          <w:color w:val="0000FF"/>
        </w:rPr>
        <w:t xml:space="preserve"> </w:t>
      </w:r>
      <w:hyperlink r:id="rId122">
        <w:r>
          <w:rPr>
            <w:rFonts w:ascii="Times New Roman" w:cs="Times New Roman" w:eastAsia="Times New Roman" w:hAnsi="Times New Roman"/>
            <w:sz w:val="18"/>
            <w:szCs w:val="18"/>
            <w:u w:val="single" w:color="auto"/>
            <w:color w:val="0000FF"/>
          </w:rPr>
          <w:t>as amended on November 10, 2022, incorporated by reference to Exhibit 10.10 to the Company’s Annual Report of Form 10-K (File No.</w:t>
        </w:r>
      </w:hyperlink>
    </w:p>
    <w:p>
      <w:pPr>
        <w:ind w:left="1240"/>
        <w:spacing w:after="0"/>
        <w:rPr>
          <w:rFonts w:ascii="Times New Roman" w:cs="Times New Roman" w:eastAsia="Times New Roman" w:hAnsi="Times New Roman"/>
          <w:sz w:val="18"/>
          <w:szCs w:val="18"/>
          <w:u w:val="single" w:color="auto"/>
          <w:color w:val="0000FF"/>
        </w:rPr>
      </w:pPr>
      <w:hyperlink r:id="rId122">
        <w:r>
          <w:rPr>
            <w:rFonts w:ascii="Times New Roman" w:cs="Times New Roman" w:eastAsia="Times New Roman" w:hAnsi="Times New Roman"/>
            <w:sz w:val="18"/>
            <w:szCs w:val="18"/>
            <w:u w:val="single" w:color="auto"/>
            <w:color w:val="0000FF"/>
          </w:rPr>
          <w:t>000-10546) filed on March 7, 2024.</w:t>
        </w:r>
      </w:hyperlink>
    </w:p>
    <w:p>
      <w:pPr>
        <w:spacing w:after="0" w:line="7" w:lineRule="exact"/>
        <w:rPr>
          <w:sz w:val="20"/>
          <w:szCs w:val="20"/>
          <w:color w:val="auto"/>
        </w:rPr>
      </w:pPr>
    </w:p>
    <w:p>
      <w:pPr>
        <w:ind w:left="1240" w:right="20" w:hanging="981"/>
        <w:spacing w:after="0" w:line="234" w:lineRule="auto"/>
        <w:tabs>
          <w:tab w:leader="none" w:pos="1220" w:val="left"/>
        </w:tabs>
        <w:rPr>
          <w:sz w:val="20"/>
          <w:szCs w:val="20"/>
          <w:color w:val="auto"/>
        </w:rPr>
      </w:pPr>
      <w:r>
        <w:rPr>
          <w:rFonts w:ascii="Times New Roman" w:cs="Times New Roman" w:eastAsia="Times New Roman" w:hAnsi="Times New Roman"/>
          <w:sz w:val="18"/>
          <w:szCs w:val="18"/>
          <w:u w:val="single" w:color="auto"/>
          <w:color w:val="0000FF"/>
        </w:rPr>
        <w:t>10.11* **</w:t>
        <w:tab/>
        <w:t>Form of Restricted Stock Unit Award Agreement dated as of December 16, 2025 under the Distribution Solutions Group, Inc. Equity Compensation Plan, as amended on November 10, 2022.</w:t>
      </w:r>
    </w:p>
    <w:p>
      <w:pPr>
        <w:spacing w:after="0" w:line="10" w:lineRule="exact"/>
        <w:rPr>
          <w:sz w:val="20"/>
          <w:szCs w:val="20"/>
          <w:color w:val="auto"/>
        </w:rPr>
      </w:pPr>
    </w:p>
    <w:p>
      <w:pPr>
        <w:ind w:left="1240" w:right="40" w:hanging="984"/>
        <w:spacing w:after="0" w:line="237" w:lineRule="auto"/>
        <w:tabs>
          <w:tab w:leader="none" w:pos="1220" w:val="left"/>
        </w:tabs>
        <w:rPr>
          <w:sz w:val="20"/>
          <w:szCs w:val="20"/>
          <w:color w:val="auto"/>
        </w:rPr>
      </w:pPr>
      <w:r>
        <w:rPr>
          <w:rFonts w:ascii="Times New Roman" w:cs="Times New Roman" w:eastAsia="Times New Roman" w:hAnsi="Times New Roman"/>
          <w:sz w:val="18"/>
          <w:szCs w:val="18"/>
          <w:u w:val="single" w:color="auto"/>
          <w:color w:val="0000FF"/>
        </w:rPr>
        <w:t>10.12* **</w:t>
        <w:tab/>
        <w:t>Form of Stock Option Award Agreement dated as of December 16, 2025 under the Distribution Solutions Group, Inc. Equity Compensation Plan, as amended on November 10, 2022.</w:t>
      </w:r>
    </w:p>
    <w:p>
      <w:pPr>
        <w:spacing w:after="0" w:line="10" w:lineRule="exact"/>
        <w:rPr>
          <w:sz w:val="20"/>
          <w:szCs w:val="20"/>
          <w:color w:val="auto"/>
        </w:rPr>
      </w:pPr>
    </w:p>
    <w:p>
      <w:pPr>
        <w:ind w:left="1240" w:right="20" w:hanging="872"/>
        <w:spacing w:after="0" w:line="237" w:lineRule="auto"/>
        <w:tabs>
          <w:tab w:leader="none" w:pos="1220" w:val="left"/>
        </w:tabs>
        <w:rPr>
          <w:rFonts w:ascii="Times New Roman" w:cs="Times New Roman" w:eastAsia="Times New Roman" w:hAnsi="Times New Roman"/>
          <w:sz w:val="18"/>
          <w:szCs w:val="18"/>
          <w:u w:val="single" w:color="auto"/>
          <w:color w:val="0000FF"/>
        </w:rPr>
      </w:pPr>
      <w:hyperlink r:id="rId123">
        <w:r>
          <w:rPr>
            <w:rFonts w:ascii="Times New Roman" w:cs="Times New Roman" w:eastAsia="Times New Roman" w:hAnsi="Times New Roman"/>
            <w:sz w:val="18"/>
            <w:szCs w:val="18"/>
            <w:u w:val="single" w:color="auto"/>
            <w:color w:val="0000FF"/>
          </w:rPr>
          <w:t>10.13*</w:t>
        </w:r>
      </w:hyperlink>
      <w:r>
        <w:rPr>
          <w:rFonts w:ascii="Times New Roman" w:cs="Times New Roman" w:eastAsia="Times New Roman" w:hAnsi="Times New Roman"/>
          <w:sz w:val="18"/>
          <w:szCs w:val="18"/>
          <w:u w:val="single" w:color="auto"/>
          <w:color w:val="0000FF"/>
        </w:rPr>
        <w:tab/>
      </w:r>
      <w:hyperlink r:id="rId123">
        <w:r>
          <w:rPr>
            <w:rFonts w:ascii="Times New Roman" w:cs="Times New Roman" w:eastAsia="Times New Roman" w:hAnsi="Times New Roman"/>
            <w:sz w:val="18"/>
            <w:szCs w:val="18"/>
            <w:u w:val="single" w:color="auto"/>
            <w:color w:val="0000FF"/>
          </w:rPr>
          <w:t>Lawson Products, Inc. 2021 Annual Incentive Plan Summary, incorporated by reference to Exhibit 10.14 to the Company’s Quarterly</w:t>
        </w:r>
      </w:hyperlink>
      <w:r>
        <w:rPr>
          <w:rFonts w:ascii="Times New Roman" w:cs="Times New Roman" w:eastAsia="Times New Roman" w:hAnsi="Times New Roman"/>
          <w:sz w:val="18"/>
          <w:szCs w:val="18"/>
          <w:u w:val="single" w:color="auto"/>
          <w:color w:val="0000FF"/>
        </w:rPr>
        <w:t xml:space="preserve"> </w:t>
      </w:r>
      <w:hyperlink r:id="rId123">
        <w:r>
          <w:rPr>
            <w:rFonts w:ascii="Times New Roman" w:cs="Times New Roman" w:eastAsia="Times New Roman" w:hAnsi="Times New Roman"/>
            <w:sz w:val="18"/>
            <w:szCs w:val="18"/>
            <w:u w:val="single" w:color="auto"/>
            <w:color w:val="0000FF"/>
          </w:rPr>
          <w:t>Report on Form 10-Q (File No. 000-10546) for the quarter ended September 30, 2021, filed on October 28, 2021.</w:t>
        </w:r>
      </w:hyperlink>
    </w:p>
    <w:p>
      <w:pPr>
        <w:spacing w:after="0" w:line="10" w:lineRule="exact"/>
        <w:rPr>
          <w:rFonts w:ascii="Times New Roman" w:cs="Times New Roman" w:eastAsia="Times New Roman" w:hAnsi="Times New Roman"/>
          <w:sz w:val="18"/>
          <w:szCs w:val="18"/>
          <w:u w:val="single" w:color="auto"/>
          <w:color w:val="0000FF"/>
        </w:rPr>
      </w:pPr>
    </w:p>
    <w:p>
      <w:pPr>
        <w:ind w:left="1240" w:right="20" w:hanging="872"/>
        <w:spacing w:after="0" w:line="237" w:lineRule="auto"/>
        <w:tabs>
          <w:tab w:leader="none" w:pos="1220" w:val="left"/>
        </w:tabs>
        <w:rPr>
          <w:rFonts w:ascii="Times New Roman" w:cs="Times New Roman" w:eastAsia="Times New Roman" w:hAnsi="Times New Roman"/>
          <w:sz w:val="18"/>
          <w:szCs w:val="18"/>
          <w:u w:val="single" w:color="auto"/>
          <w:color w:val="0000FF"/>
        </w:rPr>
      </w:pPr>
      <w:hyperlink r:id="rId124">
        <w:r>
          <w:rPr>
            <w:rFonts w:ascii="Times New Roman" w:cs="Times New Roman" w:eastAsia="Times New Roman" w:hAnsi="Times New Roman"/>
            <w:sz w:val="18"/>
            <w:szCs w:val="18"/>
            <w:u w:val="single" w:color="auto"/>
            <w:color w:val="0000FF"/>
          </w:rPr>
          <w:t>10.14*</w:t>
        </w:r>
      </w:hyperlink>
      <w:r>
        <w:rPr>
          <w:rFonts w:ascii="Times New Roman" w:cs="Times New Roman" w:eastAsia="Times New Roman" w:hAnsi="Times New Roman"/>
          <w:sz w:val="18"/>
          <w:szCs w:val="18"/>
          <w:u w:val="single" w:color="auto"/>
          <w:color w:val="0000FF"/>
        </w:rPr>
        <w:tab/>
      </w:r>
      <w:hyperlink r:id="rId124">
        <w:r>
          <w:rPr>
            <w:rFonts w:ascii="Times New Roman" w:cs="Times New Roman" w:eastAsia="Times New Roman" w:hAnsi="Times New Roman"/>
            <w:sz w:val="18"/>
            <w:szCs w:val="18"/>
            <w:u w:val="single" w:color="auto"/>
            <w:color w:val="0000FF"/>
          </w:rPr>
          <w:t>Form of Indemnification Agreement for Directors and Officers, incorporated by reference to Exhibit 10.1 to the Company’s Current</w:t>
        </w:r>
      </w:hyperlink>
      <w:r>
        <w:rPr>
          <w:rFonts w:ascii="Times New Roman" w:cs="Times New Roman" w:eastAsia="Times New Roman" w:hAnsi="Times New Roman"/>
          <w:sz w:val="18"/>
          <w:szCs w:val="18"/>
          <w:u w:val="single" w:color="auto"/>
          <w:color w:val="0000FF"/>
        </w:rPr>
        <w:t xml:space="preserve"> </w:t>
      </w:r>
      <w:hyperlink r:id="rId124">
        <w:r>
          <w:rPr>
            <w:rFonts w:ascii="Times New Roman" w:cs="Times New Roman" w:eastAsia="Times New Roman" w:hAnsi="Times New Roman"/>
            <w:sz w:val="18"/>
            <w:szCs w:val="18"/>
            <w:u w:val="single" w:color="auto"/>
            <w:color w:val="0000FF"/>
          </w:rPr>
          <w:t>Report on Form 8-K (File No. 000-10546) filed on September 19, 2008.</w:t>
        </w:r>
      </w:hyperlink>
    </w:p>
    <w:p>
      <w:pPr>
        <w:spacing w:after="0" w:line="10" w:lineRule="exact"/>
        <w:rPr>
          <w:rFonts w:ascii="Times New Roman" w:cs="Times New Roman" w:eastAsia="Times New Roman" w:hAnsi="Times New Roman"/>
          <w:sz w:val="18"/>
          <w:szCs w:val="18"/>
          <w:u w:val="single" w:color="auto"/>
          <w:color w:val="0000FF"/>
        </w:rPr>
      </w:pPr>
    </w:p>
    <w:p>
      <w:pPr>
        <w:ind w:left="1240" w:right="20" w:hanging="872"/>
        <w:spacing w:after="0" w:line="237" w:lineRule="auto"/>
        <w:tabs>
          <w:tab w:leader="none" w:pos="1220" w:val="left"/>
        </w:tabs>
        <w:rPr>
          <w:rFonts w:ascii="Times New Roman" w:cs="Times New Roman" w:eastAsia="Times New Roman" w:hAnsi="Times New Roman"/>
          <w:sz w:val="18"/>
          <w:szCs w:val="18"/>
          <w:u w:val="single" w:color="auto"/>
          <w:color w:val="0000FF"/>
        </w:rPr>
      </w:pPr>
      <w:hyperlink r:id="rId125">
        <w:r>
          <w:rPr>
            <w:rFonts w:ascii="Times New Roman" w:cs="Times New Roman" w:eastAsia="Times New Roman" w:hAnsi="Times New Roman"/>
            <w:sz w:val="18"/>
            <w:szCs w:val="18"/>
            <w:u w:val="single" w:color="auto"/>
            <w:color w:val="0000FF"/>
          </w:rPr>
          <w:t>10.15*</w:t>
        </w:r>
      </w:hyperlink>
      <w:r>
        <w:rPr>
          <w:rFonts w:ascii="Times New Roman" w:cs="Times New Roman" w:eastAsia="Times New Roman" w:hAnsi="Times New Roman"/>
          <w:sz w:val="18"/>
          <w:szCs w:val="18"/>
          <w:u w:val="single" w:color="auto"/>
          <w:color w:val="0000FF"/>
        </w:rPr>
        <w:tab/>
      </w:r>
      <w:hyperlink r:id="rId125">
        <w:r>
          <w:rPr>
            <w:rFonts w:ascii="Times New Roman" w:cs="Times New Roman" w:eastAsia="Times New Roman" w:hAnsi="Times New Roman"/>
            <w:sz w:val="18"/>
            <w:szCs w:val="18"/>
            <w:u w:val="single" w:color="auto"/>
            <w:color w:val="0000FF"/>
          </w:rPr>
          <w:t>Form of Change in Control Agreement for Officers, incorporated by reference to Exhibit 10.16 to the Company’s Quarterly Report on</w:t>
        </w:r>
      </w:hyperlink>
      <w:r>
        <w:rPr>
          <w:rFonts w:ascii="Times New Roman" w:cs="Times New Roman" w:eastAsia="Times New Roman" w:hAnsi="Times New Roman"/>
          <w:sz w:val="18"/>
          <w:szCs w:val="18"/>
          <w:u w:val="single" w:color="auto"/>
          <w:color w:val="0000FF"/>
        </w:rPr>
        <w:t xml:space="preserve"> </w:t>
      </w:r>
      <w:hyperlink r:id="rId125">
        <w:r>
          <w:rPr>
            <w:rFonts w:ascii="Times New Roman" w:cs="Times New Roman" w:eastAsia="Times New Roman" w:hAnsi="Times New Roman"/>
            <w:sz w:val="18"/>
            <w:szCs w:val="18"/>
            <w:u w:val="single" w:color="auto"/>
            <w:color w:val="0000FF"/>
          </w:rPr>
          <w:t>Form 10-Q (File No. 000-10546) for the quarter ended September 30, 2021, filed on October 28, 2021.</w:t>
        </w:r>
      </w:hyperlink>
    </w:p>
    <w:p>
      <w:pPr>
        <w:spacing w:after="0" w:line="10" w:lineRule="exact"/>
        <w:rPr>
          <w:rFonts w:ascii="Times New Roman" w:cs="Times New Roman" w:eastAsia="Times New Roman" w:hAnsi="Times New Roman"/>
          <w:sz w:val="18"/>
          <w:szCs w:val="18"/>
          <w:u w:val="single" w:color="auto"/>
          <w:color w:val="0000FF"/>
        </w:rPr>
      </w:pPr>
    </w:p>
    <w:p>
      <w:pPr>
        <w:jc w:val="right"/>
        <w:ind w:left="360" w:right="20"/>
        <w:spacing w:after="0" w:line="222" w:lineRule="auto"/>
        <w:rPr>
          <w:rFonts w:ascii="Times New Roman" w:cs="Times New Roman" w:eastAsia="Times New Roman" w:hAnsi="Times New Roman"/>
          <w:sz w:val="18"/>
          <w:szCs w:val="18"/>
          <w:u w:val="single" w:color="auto"/>
          <w:color w:val="0000FF"/>
        </w:rPr>
      </w:pPr>
      <w:hyperlink r:id="rId126">
        <w:r>
          <w:rPr>
            <w:rFonts w:ascii="Times New Roman" w:cs="Times New Roman" w:eastAsia="Times New Roman" w:hAnsi="Times New Roman"/>
            <w:sz w:val="18"/>
            <w:szCs w:val="18"/>
            <w:u w:val="single" w:color="auto"/>
            <w:color w:val="0000FF"/>
          </w:rPr>
          <w:t>10.16*    Retirement and Consulting Agreement, dated as of March 2, 2021, by and between Lawson Products, Inc., an Illinois corporation, and</w:t>
        </w:r>
      </w:hyperlink>
      <w:r>
        <w:rPr>
          <w:rFonts w:ascii="Times New Roman" w:cs="Times New Roman" w:eastAsia="Times New Roman" w:hAnsi="Times New Roman"/>
          <w:sz w:val="18"/>
          <w:szCs w:val="18"/>
          <w:u w:val="single" w:color="auto"/>
          <w:color w:val="0000FF"/>
        </w:rPr>
        <w:t xml:space="preserve"> </w:t>
      </w:r>
      <w:hyperlink r:id="rId126">
        <w:r>
          <w:rPr>
            <w:rFonts w:ascii="Times New Roman" w:cs="Times New Roman" w:eastAsia="Times New Roman" w:hAnsi="Times New Roman"/>
            <w:sz w:val="18"/>
            <w:szCs w:val="18"/>
            <w:u w:val="single" w:color="auto"/>
            <w:color w:val="0000FF"/>
          </w:rPr>
          <w:t>Neil Jenkins, incorporated by reference to Exhibit 10.1 to the Company’s Current Report on Form 8-K (File No. 000-10546) filed on</w:t>
        </w:r>
      </w:hyperlink>
    </w:p>
    <w:p>
      <w:pPr>
        <w:spacing w:after="0" w:line="2" w:lineRule="exact"/>
        <w:rPr>
          <w:sz w:val="20"/>
          <w:szCs w:val="20"/>
          <w:color w:val="auto"/>
        </w:rPr>
      </w:pPr>
    </w:p>
    <w:p>
      <w:pPr>
        <w:ind w:left="1240"/>
        <w:spacing w:after="0"/>
        <w:rPr>
          <w:rFonts w:ascii="Times New Roman" w:cs="Times New Roman" w:eastAsia="Times New Roman" w:hAnsi="Times New Roman"/>
          <w:sz w:val="18"/>
          <w:szCs w:val="18"/>
          <w:u w:val="single" w:color="auto"/>
          <w:color w:val="0000FF"/>
        </w:rPr>
      </w:pPr>
      <w:hyperlink r:id="rId126">
        <w:r>
          <w:rPr>
            <w:rFonts w:ascii="Times New Roman" w:cs="Times New Roman" w:eastAsia="Times New Roman" w:hAnsi="Times New Roman"/>
            <w:sz w:val="18"/>
            <w:szCs w:val="18"/>
            <w:u w:val="single" w:color="auto"/>
            <w:color w:val="0000FF"/>
          </w:rPr>
          <w:t>March 5, 2021.</w:t>
        </w:r>
      </w:hyperlink>
    </w:p>
    <w:p>
      <w:pPr>
        <w:spacing w:after="0" w:line="7" w:lineRule="exact"/>
        <w:rPr>
          <w:sz w:val="20"/>
          <w:szCs w:val="20"/>
          <w:color w:val="auto"/>
        </w:rPr>
      </w:pPr>
    </w:p>
    <w:p>
      <w:pPr>
        <w:jc w:val="right"/>
        <w:ind w:left="420" w:right="20"/>
        <w:spacing w:after="0" w:line="220" w:lineRule="auto"/>
        <w:rPr>
          <w:rFonts w:ascii="Times New Roman" w:cs="Times New Roman" w:eastAsia="Times New Roman" w:hAnsi="Times New Roman"/>
          <w:sz w:val="18"/>
          <w:szCs w:val="18"/>
          <w:u w:val="single" w:color="auto"/>
          <w:color w:val="0000FF"/>
        </w:rPr>
      </w:pPr>
      <w:hyperlink r:id="rId127">
        <w:r>
          <w:rPr>
            <w:rFonts w:ascii="Times New Roman" w:cs="Times New Roman" w:eastAsia="Times New Roman" w:hAnsi="Times New Roman"/>
            <w:sz w:val="18"/>
            <w:szCs w:val="18"/>
            <w:u w:val="single" w:color="auto"/>
            <w:color w:val="0000FF"/>
          </w:rPr>
          <w:t>10.17     Voting Agreement, dated as of December 29, 2021, by and among Lawson Products, Inc. and Luther King Capital Management</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Corporation, incorporated by reference to Exhibit 10.1 to the Company’s Current Report on Form 8-K (File No. 000-10546) filed on</w:t>
        </w:r>
      </w:hyperlink>
    </w:p>
    <w:p>
      <w:pPr>
        <w:ind w:left="1240"/>
        <w:spacing w:after="0"/>
        <w:rPr>
          <w:rFonts w:ascii="Times New Roman" w:cs="Times New Roman" w:eastAsia="Times New Roman" w:hAnsi="Times New Roman"/>
          <w:sz w:val="18"/>
          <w:szCs w:val="18"/>
          <w:u w:val="single" w:color="auto"/>
          <w:color w:val="0000FF"/>
        </w:rPr>
      </w:pPr>
      <w:hyperlink r:id="rId127">
        <w:r>
          <w:rPr>
            <w:rFonts w:ascii="Times New Roman" w:cs="Times New Roman" w:eastAsia="Times New Roman" w:hAnsi="Times New Roman"/>
            <w:sz w:val="18"/>
            <w:szCs w:val="18"/>
            <w:u w:val="single" w:color="auto"/>
            <w:color w:val="0000FF"/>
          </w:rPr>
          <w:t>January 4, 2022.</w:t>
        </w:r>
      </w:hyperlink>
    </w:p>
    <w:p>
      <w:pPr>
        <w:spacing w:after="0" w:line="7" w:lineRule="exact"/>
        <w:rPr>
          <w:sz w:val="20"/>
          <w:szCs w:val="20"/>
          <w:color w:val="auto"/>
        </w:rPr>
      </w:pPr>
    </w:p>
    <w:p>
      <w:pPr>
        <w:jc w:val="right"/>
        <w:ind w:left="360" w:right="20"/>
        <w:spacing w:after="0" w:line="220" w:lineRule="auto"/>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10.18#    Second Amended and Restated Credit Agreement, dated as of December 18, 2025, by and among Distribution Solutions Group, Inc., the</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other Borrowers party thereto, the other Loan Parties party thereto the Lenders party thereto and JPMorgan Chase Bank, N.A., as</w:t>
        </w:r>
      </w:hyperlink>
    </w:p>
    <w:p>
      <w:pPr>
        <w:ind w:left="1240" w:right="20"/>
        <w:spacing w:after="0" w:line="226" w:lineRule="auto"/>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Administrative Agent, incorporated by reference to Exhibit 10.1 to the Company’s Current Report on Form 8-K (File No. 000-10546)</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filed on December 22, 2025.</w:t>
        </w:r>
      </w:hyperlink>
    </w:p>
    <w:p>
      <w:pPr>
        <w:jc w:val="right"/>
        <w:ind w:left="420" w:right="20"/>
        <w:spacing w:after="0" w:line="220" w:lineRule="auto"/>
        <w:rPr>
          <w:rFonts w:ascii="Times New Roman" w:cs="Times New Roman" w:eastAsia="Times New Roman" w:hAnsi="Times New Roman"/>
          <w:sz w:val="18"/>
          <w:szCs w:val="18"/>
          <w:u w:val="single" w:color="auto"/>
          <w:color w:val="0000FF"/>
        </w:rPr>
      </w:pPr>
      <w:hyperlink r:id="rId129">
        <w:r>
          <w:rPr>
            <w:rFonts w:ascii="Times New Roman" w:cs="Times New Roman" w:eastAsia="Times New Roman" w:hAnsi="Times New Roman"/>
            <w:sz w:val="18"/>
            <w:szCs w:val="18"/>
            <w:u w:val="single" w:color="auto"/>
            <w:color w:val="0000FF"/>
          </w:rPr>
          <w:t>10.19     Registration Rights Agreement, dated as of April 1, 2022, by and among Lawson Products, Inc., 301 HW Opus Investors, LLC and</w:t>
        </w:r>
      </w:hyperlink>
      <w:r>
        <w:rPr>
          <w:rFonts w:ascii="Times New Roman" w:cs="Times New Roman" w:eastAsia="Times New Roman" w:hAnsi="Times New Roman"/>
          <w:sz w:val="18"/>
          <w:szCs w:val="18"/>
          <w:u w:val="single" w:color="auto"/>
          <w:color w:val="0000FF"/>
        </w:rPr>
        <w:t xml:space="preserve"> </w:t>
      </w:r>
      <w:hyperlink r:id="rId129">
        <w:r>
          <w:rPr>
            <w:rFonts w:ascii="Times New Roman" w:cs="Times New Roman" w:eastAsia="Times New Roman" w:hAnsi="Times New Roman"/>
            <w:sz w:val="18"/>
            <w:szCs w:val="18"/>
            <w:u w:val="single" w:color="auto"/>
            <w:color w:val="0000FF"/>
          </w:rPr>
          <w:t>LKCM TE Investors, LLC, incorporated by reference to Exhibit 10.1 to the Company’s Current Report on Form 8-K (File No. 000-</w:t>
        </w:r>
      </w:hyperlink>
    </w:p>
    <w:p>
      <w:pPr>
        <w:ind w:left="1240"/>
        <w:spacing w:after="0"/>
        <w:rPr>
          <w:rFonts w:ascii="Times New Roman" w:cs="Times New Roman" w:eastAsia="Times New Roman" w:hAnsi="Times New Roman"/>
          <w:sz w:val="18"/>
          <w:szCs w:val="18"/>
          <w:u w:val="single" w:color="auto"/>
          <w:color w:val="0000FF"/>
        </w:rPr>
      </w:pPr>
      <w:hyperlink r:id="rId129">
        <w:r>
          <w:rPr>
            <w:rFonts w:ascii="Times New Roman" w:cs="Times New Roman" w:eastAsia="Times New Roman" w:hAnsi="Times New Roman"/>
            <w:sz w:val="18"/>
            <w:szCs w:val="18"/>
            <w:u w:val="single" w:color="auto"/>
            <w:color w:val="0000FF"/>
          </w:rPr>
          <w:t>10546) filed on April 4, 2022.</w:t>
        </w:r>
      </w:hyperlink>
    </w:p>
    <w:p>
      <w:pPr>
        <w:spacing w:after="0" w:line="7" w:lineRule="exact"/>
        <w:rPr>
          <w:sz w:val="20"/>
          <w:szCs w:val="20"/>
          <w:color w:val="auto"/>
        </w:rPr>
      </w:pPr>
    </w:p>
    <w:p>
      <w:pPr>
        <w:jc w:val="right"/>
        <w:ind w:left="360" w:right="20"/>
        <w:spacing w:after="0" w:line="220" w:lineRule="auto"/>
        <w:rPr>
          <w:rFonts w:ascii="Times New Roman" w:cs="Times New Roman" w:eastAsia="Times New Roman" w:hAnsi="Times New Roman"/>
          <w:sz w:val="18"/>
          <w:szCs w:val="18"/>
          <w:u w:val="single" w:color="auto"/>
          <w:color w:val="0000FF"/>
        </w:rPr>
      </w:pPr>
      <w:hyperlink r:id="rId130">
        <w:r>
          <w:rPr>
            <w:rFonts w:ascii="Times New Roman" w:cs="Times New Roman" w:eastAsia="Times New Roman" w:hAnsi="Times New Roman"/>
            <w:sz w:val="18"/>
            <w:szCs w:val="18"/>
            <w:u w:val="single" w:color="auto"/>
            <w:color w:val="0000FF"/>
          </w:rPr>
          <w:t>10.20*    Retirement and Consulting Agreement, dated as of April 4, 2022, by and between Lawson Products, Inc., an Illinois corporation, and</w:t>
        </w:r>
      </w:hyperlink>
      <w:r>
        <w:rPr>
          <w:rFonts w:ascii="Times New Roman" w:cs="Times New Roman" w:eastAsia="Times New Roman" w:hAnsi="Times New Roman"/>
          <w:sz w:val="18"/>
          <w:szCs w:val="18"/>
          <w:u w:val="single" w:color="auto"/>
          <w:color w:val="0000FF"/>
        </w:rPr>
        <w:t xml:space="preserve"> </w:t>
      </w:r>
      <w:hyperlink r:id="rId130">
        <w:r>
          <w:rPr>
            <w:rFonts w:ascii="Times New Roman" w:cs="Times New Roman" w:eastAsia="Times New Roman" w:hAnsi="Times New Roman"/>
            <w:sz w:val="18"/>
            <w:szCs w:val="18"/>
            <w:u w:val="single" w:color="auto"/>
            <w:color w:val="0000FF"/>
          </w:rPr>
          <w:t>Michael G. DeCata, incorporated by reference to Exhibit 10.1 to the Company’s Current Report on Form 8-K (File No. 000-10546) filed</w:t>
        </w:r>
      </w:hyperlink>
    </w:p>
    <w:p>
      <w:pPr>
        <w:ind w:left="1240"/>
        <w:spacing w:after="0"/>
        <w:rPr>
          <w:rFonts w:ascii="Times New Roman" w:cs="Times New Roman" w:eastAsia="Times New Roman" w:hAnsi="Times New Roman"/>
          <w:sz w:val="18"/>
          <w:szCs w:val="18"/>
          <w:u w:val="single" w:color="auto"/>
          <w:color w:val="0000FF"/>
        </w:rPr>
      </w:pPr>
      <w:hyperlink r:id="rId130">
        <w:r>
          <w:rPr>
            <w:rFonts w:ascii="Times New Roman" w:cs="Times New Roman" w:eastAsia="Times New Roman" w:hAnsi="Times New Roman"/>
            <w:sz w:val="18"/>
            <w:szCs w:val="18"/>
            <w:u w:val="single" w:color="auto"/>
            <w:color w:val="0000FF"/>
          </w:rPr>
          <w:t>on April 8, 2022.</w:t>
        </w:r>
      </w:hyperlink>
    </w:p>
    <w:p>
      <w:pPr>
        <w:spacing w:after="0" w:line="7" w:lineRule="exact"/>
        <w:rPr>
          <w:sz w:val="20"/>
          <w:szCs w:val="20"/>
          <w:color w:val="auto"/>
        </w:rPr>
      </w:pPr>
    </w:p>
    <w:p>
      <w:pPr>
        <w:jc w:val="right"/>
        <w:ind w:left="360" w:right="20"/>
        <w:spacing w:after="0" w:line="220" w:lineRule="auto"/>
        <w:rPr>
          <w:rFonts w:ascii="Times New Roman" w:cs="Times New Roman" w:eastAsia="Times New Roman" w:hAnsi="Times New Roman"/>
          <w:sz w:val="18"/>
          <w:szCs w:val="18"/>
          <w:u w:val="single" w:color="auto"/>
          <w:color w:val="0000FF"/>
        </w:rPr>
      </w:pPr>
      <w:hyperlink r:id="rId131">
        <w:r>
          <w:rPr>
            <w:rFonts w:ascii="Times New Roman" w:cs="Times New Roman" w:eastAsia="Times New Roman" w:hAnsi="Times New Roman"/>
            <w:sz w:val="18"/>
            <w:szCs w:val="18"/>
            <w:u w:val="single" w:color="auto"/>
            <w:color w:val="0000FF"/>
          </w:rPr>
          <w:t>10.21*    Employment Agreement, dated as of April 4, 2022, by and between Lawson Products, Inc., an Illinois corporation, and Cesar A. Lanuza,</w:t>
        </w:r>
      </w:hyperlink>
      <w:r>
        <w:rPr>
          <w:rFonts w:ascii="Times New Roman" w:cs="Times New Roman" w:eastAsia="Times New Roman" w:hAnsi="Times New Roman"/>
          <w:sz w:val="18"/>
          <w:szCs w:val="18"/>
          <w:u w:val="single" w:color="auto"/>
          <w:color w:val="0000FF"/>
        </w:rPr>
        <w:t xml:space="preserve"> </w:t>
      </w:r>
      <w:hyperlink r:id="rId131">
        <w:r>
          <w:rPr>
            <w:rFonts w:ascii="Times New Roman" w:cs="Times New Roman" w:eastAsia="Times New Roman" w:hAnsi="Times New Roman"/>
            <w:sz w:val="18"/>
            <w:szCs w:val="18"/>
            <w:u w:val="single" w:color="auto"/>
            <w:color w:val="0000FF"/>
          </w:rPr>
          <w:t>incorporated by reference to Exhibit 10.22 to the Company’s Quarterly Report on Form 10-Q (File No. 000-10546) for the quarter ended</w:t>
        </w:r>
      </w:hyperlink>
    </w:p>
    <w:p>
      <w:pPr>
        <w:ind w:left="1240"/>
        <w:spacing w:after="0"/>
        <w:rPr>
          <w:rFonts w:ascii="Times New Roman" w:cs="Times New Roman" w:eastAsia="Times New Roman" w:hAnsi="Times New Roman"/>
          <w:sz w:val="18"/>
          <w:szCs w:val="18"/>
          <w:u w:val="single" w:color="auto"/>
          <w:color w:val="0000FF"/>
        </w:rPr>
      </w:pPr>
      <w:hyperlink r:id="rId131">
        <w:r>
          <w:rPr>
            <w:rFonts w:ascii="Times New Roman" w:cs="Times New Roman" w:eastAsia="Times New Roman" w:hAnsi="Times New Roman"/>
            <w:sz w:val="18"/>
            <w:szCs w:val="18"/>
            <w:u w:val="single" w:color="auto"/>
            <w:color w:val="0000FF"/>
          </w:rPr>
          <w:t>June 30, 2022, filed on August 9, 2022.</w:t>
        </w:r>
      </w:hyperlink>
    </w:p>
    <w:p>
      <w:pPr>
        <w:spacing w:after="0" w:line="7" w:lineRule="exact"/>
        <w:rPr>
          <w:sz w:val="20"/>
          <w:szCs w:val="20"/>
          <w:color w:val="auto"/>
        </w:rPr>
      </w:pPr>
    </w:p>
    <w:p>
      <w:pPr>
        <w:jc w:val="right"/>
        <w:ind w:left="360" w:right="20"/>
        <w:spacing w:after="0" w:line="220" w:lineRule="auto"/>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10.22*    Employment Agreement, dated as of January 27, 2023, by and between Lawson Products, Inc., an Illinois corporation, and Ronald J.</w:t>
        </w:r>
      </w:hyperlink>
      <w:r>
        <w:rPr>
          <w:rFonts w:ascii="Times New Roman" w:cs="Times New Roman" w:eastAsia="Times New Roman" w:hAnsi="Times New Roman"/>
          <w:sz w:val="18"/>
          <w:szCs w:val="18"/>
          <w:u w:val="single" w:color="auto"/>
          <w:color w:val="0000FF"/>
        </w:rPr>
        <w:t xml:space="preserve"> </w:t>
      </w:r>
      <w:hyperlink r:id="rId132">
        <w:r>
          <w:rPr>
            <w:rFonts w:ascii="Times New Roman" w:cs="Times New Roman" w:eastAsia="Times New Roman" w:hAnsi="Times New Roman"/>
            <w:sz w:val="18"/>
            <w:szCs w:val="18"/>
            <w:u w:val="single" w:color="auto"/>
            <w:color w:val="0000FF"/>
          </w:rPr>
          <w:t>Knutson, incorporate by reference to Exhibit 10.1 to the Company’s Current Report on Form 8-K (File No. 000-10546) filed on January</w:t>
        </w:r>
      </w:hyperlink>
    </w:p>
    <w:p>
      <w:pPr>
        <w:ind w:left="1240"/>
        <w:spacing w:after="0"/>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31, 2023.</w:t>
        </w:r>
      </w:hyperlink>
    </w:p>
    <w:p>
      <w:pPr>
        <w:spacing w:after="0" w:line="7" w:lineRule="exact"/>
        <w:rPr>
          <w:sz w:val="20"/>
          <w:szCs w:val="20"/>
          <w:color w:val="auto"/>
        </w:rPr>
      </w:pPr>
    </w:p>
    <w:p>
      <w:pPr>
        <w:jc w:val="right"/>
        <w:ind w:left="420" w:right="20"/>
        <w:spacing w:after="0" w:line="220" w:lineRule="auto"/>
        <w:rPr>
          <w:rFonts w:ascii="Times New Roman" w:cs="Times New Roman" w:eastAsia="Times New Roman" w:hAnsi="Times New Roman"/>
          <w:sz w:val="18"/>
          <w:szCs w:val="18"/>
          <w:u w:val="single" w:color="auto"/>
          <w:color w:val="0000FF"/>
        </w:rPr>
      </w:pPr>
      <w:hyperlink r:id="rId133">
        <w:r>
          <w:rPr>
            <w:rFonts w:ascii="Times New Roman" w:cs="Times New Roman" w:eastAsia="Times New Roman" w:hAnsi="Times New Roman"/>
            <w:sz w:val="18"/>
            <w:szCs w:val="18"/>
            <w:u w:val="single" w:color="auto"/>
            <w:color w:val="0000FF"/>
          </w:rPr>
          <w:t>10.23     Subscription Agent Agreement, dated as of May 8, 2023, by and among Distribution Solutions Group, Inc., Computershare Inc. and</w:t>
        </w:r>
      </w:hyperlink>
      <w:r>
        <w:rPr>
          <w:rFonts w:ascii="Times New Roman" w:cs="Times New Roman" w:eastAsia="Times New Roman" w:hAnsi="Times New Roman"/>
          <w:sz w:val="18"/>
          <w:szCs w:val="18"/>
          <w:u w:val="single" w:color="auto"/>
          <w:color w:val="0000FF"/>
        </w:rPr>
        <w:t xml:space="preserve"> </w:t>
      </w:r>
      <w:hyperlink r:id="rId133">
        <w:r>
          <w:rPr>
            <w:rFonts w:ascii="Times New Roman" w:cs="Times New Roman" w:eastAsia="Times New Roman" w:hAnsi="Times New Roman"/>
            <w:sz w:val="18"/>
            <w:szCs w:val="18"/>
            <w:u w:val="single" w:color="auto"/>
            <w:color w:val="0000FF"/>
          </w:rPr>
          <w:t>Computershare Trust Company, N.A., incorporated by reference to Exhibit 10.1 to the Company’s Current Report on Form 8-K (File No.</w:t>
        </w:r>
      </w:hyperlink>
    </w:p>
    <w:p>
      <w:pPr>
        <w:ind w:left="1240"/>
        <w:spacing w:after="0"/>
        <w:rPr>
          <w:rFonts w:ascii="Times New Roman" w:cs="Times New Roman" w:eastAsia="Times New Roman" w:hAnsi="Times New Roman"/>
          <w:sz w:val="18"/>
          <w:szCs w:val="18"/>
          <w:u w:val="single" w:color="auto"/>
          <w:color w:val="0000FF"/>
        </w:rPr>
      </w:pPr>
      <w:hyperlink r:id="rId133">
        <w:r>
          <w:rPr>
            <w:rFonts w:ascii="Times New Roman" w:cs="Times New Roman" w:eastAsia="Times New Roman" w:hAnsi="Times New Roman"/>
            <w:sz w:val="18"/>
            <w:szCs w:val="18"/>
            <w:u w:val="single" w:color="auto"/>
            <w:color w:val="0000FF"/>
          </w:rPr>
          <w:t>000-10546) filed on May 9, 2023.</w:t>
        </w:r>
      </w:hyperlink>
    </w:p>
    <w:p>
      <w:pPr>
        <w:spacing w:after="0" w:line="7" w:lineRule="exact"/>
        <w:rPr>
          <w:sz w:val="20"/>
          <w:szCs w:val="20"/>
          <w:color w:val="auto"/>
        </w:rPr>
      </w:pPr>
    </w:p>
    <w:p>
      <w:pPr>
        <w:jc w:val="right"/>
        <w:ind w:left="360" w:right="20"/>
        <w:spacing w:after="0" w:line="220" w:lineRule="auto"/>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10.24*    Executive Employment Agreement dated as of December 30, 2019 by and between Robert Connors and 301 HW Opus HoldCo, LLC, a</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Delaware corporation, incorporated by reference to Exhibit 10.2 to the Company’s Quarterly Report on Form 10-Q (File No. 000-10546)</w:t>
        </w:r>
      </w:hyperlink>
    </w:p>
    <w:p>
      <w:pPr>
        <w:ind w:left="1240"/>
        <w:spacing w:after="0"/>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for the quarter ended March 31, 2025, filed on May 1, 2025.</w:t>
        </w:r>
      </w:hyperlink>
    </w:p>
    <w:p>
      <w:pPr>
        <w:spacing w:after="0" w:line="7" w:lineRule="exact"/>
        <w:rPr>
          <w:sz w:val="20"/>
          <w:szCs w:val="20"/>
          <w:color w:val="auto"/>
        </w:rPr>
      </w:pPr>
    </w:p>
    <w:p>
      <w:pPr>
        <w:jc w:val="right"/>
        <w:ind w:left="360" w:right="20"/>
        <w:spacing w:after="0" w:line="220" w:lineRule="auto"/>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10.25*    Amended and Restated Employment Agreement dated as of August 3, 2018 by and between Russ Frazee and Test Equity, LLC, a</w:t>
        </w:r>
      </w:hyperlink>
      <w:r>
        <w:rPr>
          <w:rFonts w:ascii="Times New Roman" w:cs="Times New Roman" w:eastAsia="Times New Roman" w:hAnsi="Times New Roman"/>
          <w:sz w:val="18"/>
          <w:szCs w:val="18"/>
          <w:u w:val="single" w:color="auto"/>
          <w:color w:val="0000FF"/>
        </w:rPr>
        <w:t xml:space="preserve"> </w:t>
      </w:r>
      <w:hyperlink r:id="rId135">
        <w:r>
          <w:rPr>
            <w:rFonts w:ascii="Times New Roman" w:cs="Times New Roman" w:eastAsia="Times New Roman" w:hAnsi="Times New Roman"/>
            <w:sz w:val="18"/>
            <w:szCs w:val="18"/>
            <w:u w:val="single" w:color="auto"/>
            <w:color w:val="0000FF"/>
          </w:rPr>
          <w:t>Delaware corporation, incorporated by reference to Exhibit 10.3 to the Company’s Quarterly Report on Form 10-Q (File No. 000-10546)</w:t>
        </w:r>
      </w:hyperlink>
    </w:p>
    <w:p>
      <w:pPr>
        <w:ind w:left="1240"/>
        <w:spacing w:after="0"/>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filed on May 1, 2025.</w:t>
        </w:r>
      </w:hyperlink>
    </w:p>
    <w:p>
      <w:pPr>
        <w:spacing w:after="0" w:line="7" w:lineRule="exact"/>
        <w:rPr>
          <w:sz w:val="20"/>
          <w:szCs w:val="20"/>
          <w:color w:val="auto"/>
        </w:rPr>
      </w:pPr>
    </w:p>
    <w:p>
      <w:pPr>
        <w:ind w:left="1240" w:right="40" w:hanging="917"/>
        <w:spacing w:after="0" w:line="234" w:lineRule="auto"/>
        <w:tabs>
          <w:tab w:leader="none" w:pos="1220" w:val="left"/>
        </w:tabs>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10.26*†</w:t>
        </w:r>
      </w:hyperlink>
      <w:r>
        <w:rPr>
          <w:rFonts w:ascii="Times New Roman" w:cs="Times New Roman" w:eastAsia="Times New Roman" w:hAnsi="Times New Roman"/>
          <w:sz w:val="18"/>
          <w:szCs w:val="18"/>
          <w:u w:val="single" w:color="auto"/>
          <w:color w:val="0000FF"/>
        </w:rPr>
        <w:tab/>
      </w:r>
      <w:hyperlink r:id="rId136">
        <w:r>
          <w:rPr>
            <w:rFonts w:ascii="Times New Roman" w:cs="Times New Roman" w:eastAsia="Times New Roman" w:hAnsi="Times New Roman"/>
            <w:sz w:val="18"/>
            <w:szCs w:val="18"/>
            <w:u w:val="single" w:color="auto"/>
            <w:color w:val="0000FF"/>
          </w:rPr>
          <w:t>Employment Agreement, dated June 26, 2025, between TestEquity LLC and Barry Litwin, incorporated by reference to Exhibit 10.1 to</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the Company’s Current Report on Form 8-K (File No. 000-10546) filed on July 2, 2025.</w:t>
        </w:r>
      </w:hyperlink>
    </w:p>
    <w:p>
      <w:pPr>
        <w:spacing w:after="0" w:line="10" w:lineRule="exact"/>
        <w:rPr>
          <w:rFonts w:ascii="Times New Roman" w:cs="Times New Roman" w:eastAsia="Times New Roman" w:hAnsi="Times New Roman"/>
          <w:sz w:val="18"/>
          <w:szCs w:val="18"/>
          <w:u w:val="single" w:color="auto"/>
          <w:color w:val="0000FF"/>
        </w:rPr>
      </w:pPr>
    </w:p>
    <w:p>
      <w:pPr>
        <w:ind w:left="1240" w:right="20" w:hanging="715"/>
        <w:spacing w:after="0" w:line="237" w:lineRule="auto"/>
        <w:tabs>
          <w:tab w:leader="none" w:pos="1240" w:val="left"/>
        </w:tabs>
        <w:numPr>
          <w:ilvl w:val="0"/>
          <w:numId w:val="34"/>
        </w:numPr>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Insider Trading Policy of Distribution Solutions Group, Inc., dated June 1, 2022, incorporated by reference to Exhibit 19 to the Company's</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Annual Report on Form 10-K (File No. 000-10546) for the fiscal year ended December 31, 2024, filed on March 6, 2025.</w:t>
        </w:r>
      </w:hyperlink>
    </w:p>
    <w:tbl>
      <w:tblPr>
        <w:tblLayout w:type="fixed"/>
        <w:tblInd w:w="0" w:type="dxa"/>
        <w:tblCellMar>
          <w:top w:w="0" w:type="dxa"/>
          <w:left w:w="0" w:type="dxa"/>
          <w:bottom w:w="0" w:type="dxa"/>
          <w:right w:w="0" w:type="dxa"/>
        </w:tblCellMar>
      </w:tblPr>
      <w:tr>
        <w:trPr>
          <w:trHeight w:val="204"/>
        </w:trPr>
        <w:tc>
          <w:tcPr>
            <w:tcW w:w="860" w:type="dxa"/>
            <w:vAlign w:val="bottom"/>
            <w:gridSpan w:val="3"/>
          </w:tcPr>
          <w:p>
            <w:pPr>
              <w:jc w:val="center"/>
              <w:ind w:left="290"/>
              <w:spacing w:after="0" w:line="204" w:lineRule="exact"/>
              <w:rPr>
                <w:sz w:val="20"/>
                <w:szCs w:val="20"/>
                <w:color w:val="auto"/>
              </w:rPr>
            </w:pPr>
            <w:r>
              <w:rPr>
                <w:rFonts w:ascii="Times New Roman" w:cs="Times New Roman" w:eastAsia="Times New Roman" w:hAnsi="Times New Roman"/>
                <w:sz w:val="18"/>
                <w:szCs w:val="18"/>
                <w:color w:val="0000FF"/>
                <w:w w:val="99"/>
              </w:rPr>
              <w:t>21**</w:t>
            </w:r>
          </w:p>
        </w:tc>
        <w:tc>
          <w:tcPr>
            <w:tcW w:w="380" w:type="dxa"/>
            <w:vAlign w:val="bottom"/>
          </w:tcPr>
          <w:p>
            <w:pPr>
              <w:spacing w:after="0"/>
              <w:rPr>
                <w:sz w:val="17"/>
                <w:szCs w:val="17"/>
                <w:color w:val="auto"/>
              </w:rPr>
            </w:pPr>
          </w:p>
        </w:tc>
        <w:tc>
          <w:tcPr>
            <w:tcW w:w="2120" w:type="dxa"/>
            <w:vAlign w:val="bottom"/>
            <w:tcBorders>
              <w:bottom w:val="single" w:sz="8" w:color="0000FF"/>
            </w:tcBorders>
          </w:tcPr>
          <w:p>
            <w:pPr>
              <w:spacing w:after="0" w:line="204" w:lineRule="exact"/>
              <w:rPr>
                <w:sz w:val="20"/>
                <w:szCs w:val="20"/>
                <w:color w:val="auto"/>
              </w:rPr>
            </w:pPr>
            <w:r>
              <w:rPr>
                <w:rFonts w:ascii="Times New Roman" w:cs="Times New Roman" w:eastAsia="Times New Roman" w:hAnsi="Times New Roman"/>
                <w:sz w:val="18"/>
                <w:szCs w:val="18"/>
                <w:color w:val="0000FF"/>
                <w:w w:val="98"/>
              </w:rPr>
              <w:t>Subsidiaries of the Company.</w:t>
            </w:r>
          </w:p>
        </w:tc>
        <w:tc>
          <w:tcPr>
            <w:tcW w:w="7880" w:type="dxa"/>
            <w:vAlign w:val="bottom"/>
            <w:gridSpan w:val="3"/>
          </w:tcPr>
          <w:p>
            <w:pPr>
              <w:spacing w:after="0"/>
              <w:rPr>
                <w:sz w:val="17"/>
                <w:szCs w:val="17"/>
                <w:color w:val="auto"/>
              </w:rPr>
            </w:pPr>
          </w:p>
        </w:tc>
      </w:tr>
      <w:tr>
        <w:trPr>
          <w:trHeight w:val="210"/>
        </w:trPr>
        <w:tc>
          <w:tcPr>
            <w:tcW w:w="360" w:type="dxa"/>
            <w:vAlign w:val="bottom"/>
          </w:tcPr>
          <w:p>
            <w:pPr>
              <w:spacing w:after="0"/>
              <w:rPr>
                <w:sz w:val="18"/>
                <w:szCs w:val="18"/>
                <w:color w:val="auto"/>
              </w:rPr>
            </w:pP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rPr>
              <w:t>23.</w:t>
            </w:r>
            <w:r>
              <w:rPr>
                <w:rFonts w:ascii="Times New Roman" w:cs="Times New Roman" w:eastAsia="Times New Roman" w:hAnsi="Times New Roman"/>
                <w:sz w:val="18"/>
                <w:szCs w:val="18"/>
                <w:u w:val="single" w:color="auto"/>
                <w:color w:val="0000FF"/>
              </w:rPr>
              <w:t>1**</w:t>
            </w:r>
          </w:p>
        </w:tc>
        <w:tc>
          <w:tcPr>
            <w:tcW w:w="380" w:type="dxa"/>
            <w:vAlign w:val="bottom"/>
          </w:tcPr>
          <w:p>
            <w:pPr>
              <w:spacing w:after="0"/>
              <w:rPr>
                <w:sz w:val="18"/>
                <w:szCs w:val="18"/>
                <w:color w:val="auto"/>
              </w:rPr>
            </w:pPr>
          </w:p>
        </w:tc>
        <w:tc>
          <w:tcPr>
            <w:tcW w:w="10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Consent of Grant Thornton, LLP.</w:t>
            </w:r>
          </w:p>
        </w:tc>
      </w:tr>
      <w:tr>
        <w:trPr>
          <w:trHeight w:val="20"/>
        </w:trPr>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380" w:type="dxa"/>
            <w:vAlign w:val="bottom"/>
          </w:tcPr>
          <w:p>
            <w:pPr>
              <w:spacing w:after="0"/>
              <w:rPr>
                <w:sz w:val="18"/>
                <w:szCs w:val="18"/>
                <w:color w:val="auto"/>
              </w:rPr>
            </w:pPr>
          </w:p>
        </w:tc>
        <w:tc>
          <w:tcPr>
            <w:tcW w:w="10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r>
      <w:tr>
        <w:trPr>
          <w:trHeight w:val="844"/>
        </w:trPr>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7220" w:type="dxa"/>
            <w:vAlign w:val="bottom"/>
            <w:tcBorders>
              <w:top w:val="single" w:sz="8" w:color="0000FF"/>
            </w:tcBorders>
            <w:gridSpan w:val="3"/>
          </w:tcPr>
          <w:p>
            <w:pPr>
              <w:jc w:val="right"/>
              <w:ind w:right="2740"/>
              <w:spacing w:after="0"/>
              <w:rPr>
                <w:sz w:val="20"/>
                <w:szCs w:val="20"/>
                <w:color w:val="auto"/>
              </w:rPr>
            </w:pPr>
            <w:r>
              <w:rPr>
                <w:rFonts w:ascii="Times New Roman" w:cs="Times New Roman" w:eastAsia="Times New Roman" w:hAnsi="Times New Roman"/>
                <w:sz w:val="18"/>
                <w:szCs w:val="18"/>
                <w:color w:val="auto"/>
              </w:rPr>
              <w:t>93</w:t>
            </w:r>
          </w:p>
        </w:tc>
        <w:tc>
          <w:tcPr>
            <w:tcW w:w="2780" w:type="dxa"/>
            <w:vAlign w:val="bottom"/>
          </w:tcPr>
          <w:p>
            <w:pPr>
              <w:spacing w:after="0"/>
              <w:rPr>
                <w:sz w:val="24"/>
                <w:szCs w:val="24"/>
                <w:color w:val="auto"/>
              </w:rPr>
            </w:pPr>
          </w:p>
        </w:tc>
      </w:tr>
      <w:tr>
        <w:trPr>
          <w:trHeight w:val="358"/>
        </w:trPr>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r>
    </w:tbl>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93" w:name="page94"/>
    <w:bookmarkEnd w:id="93"/>
    <w:tbl>
      <w:tblPr>
        <w:tblLayout w:type="fixed"/>
        <w:tblInd w:w="360" w:type="dxa"/>
        <w:tblCellMar>
          <w:top w:w="0" w:type="dxa"/>
          <w:left w:w="0" w:type="dxa"/>
          <w:bottom w:w="0" w:type="dxa"/>
          <w:right w:w="0" w:type="dxa"/>
        </w:tblCellMar>
      </w:tblPr>
      <w:tr>
        <w:trPr>
          <w:trHeight w:val="207"/>
        </w:trPr>
        <w:tc>
          <w:tcPr>
            <w:tcW w:w="8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0000FF"/>
                <w:w w:val="96"/>
              </w:rPr>
              <w:t>31.</w:t>
            </w:r>
            <w:r>
              <w:rPr>
                <w:rFonts w:ascii="Times New Roman" w:cs="Times New Roman" w:eastAsia="Times New Roman" w:hAnsi="Times New Roman"/>
                <w:sz w:val="18"/>
                <w:szCs w:val="18"/>
                <w:u w:val="single" w:color="auto"/>
                <w:color w:val="0000FF"/>
                <w:w w:val="96"/>
              </w:rPr>
              <w:t>2**</w:t>
            </w:r>
          </w:p>
        </w:tc>
        <w:tc>
          <w:tcPr>
            <w:tcW w:w="10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w:t>
            </w:r>
          </w:p>
        </w:tc>
      </w:tr>
      <w:tr>
        <w:trPr>
          <w:trHeight w:val="20"/>
        </w:trPr>
        <w:tc>
          <w:tcPr>
            <w:tcW w:w="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4300" w:type="dxa"/>
            <w:vAlign w:val="bottom"/>
            <w:shd w:val="clear" w:color="auto" w:fill="0000FF"/>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rPr>
              <w:t>32***</w:t>
            </w:r>
          </w:p>
        </w:tc>
        <w:tc>
          <w:tcPr>
            <w:tcW w:w="380" w:type="dxa"/>
            <w:vAlign w:val="bottom"/>
          </w:tcPr>
          <w:p>
            <w:pPr>
              <w:spacing w:after="0"/>
              <w:rPr>
                <w:sz w:val="18"/>
                <w:szCs w:val="18"/>
                <w:color w:val="auto"/>
              </w:rPr>
            </w:pPr>
          </w:p>
        </w:tc>
        <w:tc>
          <w:tcPr>
            <w:tcW w:w="10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 pursuant to 18 U.S.C. Section 1350 as adopted pursuant to Section</w:t>
            </w:r>
          </w:p>
        </w:tc>
      </w:tr>
      <w:tr>
        <w:trPr>
          <w:trHeight w:val="156"/>
        </w:trPr>
        <w:tc>
          <w:tcPr>
            <w:tcW w:w="40" w:type="dxa"/>
            <w:vAlign w:val="bottom"/>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288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906 of the Sarbanes-Oxley Act of 2002.</w:t>
            </w:r>
          </w:p>
        </w:tc>
        <w:tc>
          <w:tcPr>
            <w:tcW w:w="710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bl>
    <w:p>
      <w:pPr>
        <w:spacing w:after="0" w:line="36" w:lineRule="exact"/>
        <w:rPr>
          <w:sz w:val="20"/>
          <w:szCs w:val="20"/>
          <w:color w:val="auto"/>
        </w:rPr>
      </w:pPr>
    </w:p>
    <w:p>
      <w:pPr>
        <w:ind w:left="1240" w:right="20" w:hanging="715"/>
        <w:spacing w:after="0" w:line="237" w:lineRule="auto"/>
        <w:tabs>
          <w:tab w:leader="none" w:pos="1240" w:val="left"/>
        </w:tabs>
        <w:numPr>
          <w:ilvl w:val="0"/>
          <w:numId w:val="35"/>
        </w:numPr>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Distribution Solutions Group, Inc. Incentive Based Compensation Recoupment Policy, dated as of November 28, 2023, incorporated by</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reference to Exhibit 97 to the Company’s Annual Report of Form 10-K (File No. 000-10546) filed on March 7, 2024.</w:t>
        </w:r>
      </w:hyperlink>
    </w:p>
    <w:tbl>
      <w:tblPr>
        <w:tblLayout w:type="fixed"/>
        <w:tblInd w:w="180" w:type="dxa"/>
        <w:tblCellMar>
          <w:top w:w="0" w:type="dxa"/>
          <w:left w:w="0" w:type="dxa"/>
          <w:bottom w:w="0" w:type="dxa"/>
          <w:right w:w="0" w:type="dxa"/>
        </w:tblCellMar>
      </w:tblPr>
      <w:tr>
        <w:trPr>
          <w:trHeight w:val="190"/>
        </w:trPr>
        <w:tc>
          <w:tcPr>
            <w:tcW w:w="96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color w:val="auto"/>
                <w:w w:val="99"/>
              </w:rPr>
              <w:t>101.INS</w:t>
            </w:r>
          </w:p>
        </w:tc>
        <w:tc>
          <w:tcPr>
            <w:tcW w:w="10080" w:type="dxa"/>
            <w:vAlign w:val="bottom"/>
          </w:tcPr>
          <w:p>
            <w:pPr>
              <w:ind w:left="100"/>
              <w:spacing w:after="0" w:line="190"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960" w:type="dxa"/>
            <w:vAlign w:val="bottom"/>
          </w:tcPr>
          <w:p>
            <w:pPr>
              <w:spacing w:after="0"/>
              <w:rPr>
                <w:sz w:val="20"/>
                <w:szCs w:val="20"/>
                <w:color w:val="auto"/>
              </w:rPr>
            </w:pPr>
          </w:p>
        </w:tc>
        <w:tc>
          <w:tcPr>
            <w:tcW w:w="10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33"/>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0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9"/>
        </w:trPr>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101.CAL**</w:t>
            </w:r>
          </w:p>
        </w:tc>
        <w:tc>
          <w:tcPr>
            <w:tcW w:w="10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30"/>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10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29"/>
        </w:trPr>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101.LAB**</w:t>
            </w:r>
          </w:p>
        </w:tc>
        <w:tc>
          <w:tcPr>
            <w:tcW w:w="10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101.PRE**</w:t>
            </w:r>
          </w:p>
        </w:tc>
        <w:tc>
          <w:tcPr>
            <w:tcW w:w="10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1240" w:hanging="760"/>
        <w:spacing w:after="0"/>
        <w:tabs>
          <w:tab w:leader="none" w:pos="12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File (embedded within the Inline XBRL document and contained in Exhibit 101)</w:t>
      </w:r>
    </w:p>
    <w:p>
      <w:pPr>
        <w:spacing w:after="0" w:line="139" w:lineRule="exact"/>
        <w:rPr>
          <w:rFonts w:ascii="Times New Roman" w:cs="Times New Roman" w:eastAsia="Times New Roman" w:hAnsi="Times New Roman"/>
          <w:sz w:val="18"/>
          <w:szCs w:val="18"/>
          <w:color w:val="auto"/>
        </w:rPr>
      </w:pPr>
    </w:p>
    <w:p>
      <w:pPr>
        <w:ind w:right="320" w:firstLine="8"/>
        <w:spacing w:after="0" w:line="234" w:lineRule="auto"/>
        <w:tabs>
          <w:tab w:leader="none" w:pos="162"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Certain schedules and/or similar attachments omitted pursuant to Item 601(a)(5) of Regulation S-K promulgated by the U.S. Securities and Exchange Commission. The Company agrees to furnish supplementally a copy of any omitted schedule or similar attachment to the SEC upon request.</w:t>
      </w:r>
    </w:p>
    <w:p>
      <w:pPr>
        <w:spacing w:after="0" w:line="1" w:lineRule="exact"/>
        <w:rPr>
          <w:rFonts w:ascii="Times New Roman" w:cs="Times New Roman" w:eastAsia="Times New Roman" w:hAnsi="Times New Roman"/>
          <w:sz w:val="22"/>
          <w:szCs w:val="22"/>
          <w:color w:val="auto"/>
        </w:rPr>
      </w:pPr>
    </w:p>
    <w:p>
      <w:pPr>
        <w:spacing w:after="0" w:line="250" w:lineRule="auto"/>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Portions of this exhibit have been omitted pursuant to Item 601(a)(6) of Regulation S-K. The Company agrees to furnish supplementally a copy of such information to the SEC upon request.</w:t>
      </w:r>
    </w:p>
    <w:p>
      <w:pPr>
        <w:ind w:right="4920"/>
        <w:spacing w:after="0" w:line="286" w:lineRule="auto"/>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Indicates management employment contracts or compensatory plans or arrangements.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Filed herewith.</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Furnished herewith.</w:t>
      </w:r>
    </w:p>
    <w:p>
      <w:pPr>
        <w:spacing w:after="0" w:line="248"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rFonts w:ascii="Times New Roman" w:cs="Times New Roman" w:eastAsia="Times New Roman" w:hAnsi="Times New Roman"/>
          <w:sz w:val="18"/>
          <w:szCs w:val="18"/>
          <w:u w:val="single" w:color="auto"/>
          <w:color w:val="0000FF"/>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rFonts w:ascii="Times New Roman" w:cs="Times New Roman" w:eastAsia="Times New Roman" w:hAnsi="Times New Roman"/>
          <w:sz w:val="18"/>
          <w:szCs w:val="18"/>
          <w:u w:val="single" w:color="auto"/>
          <w:color w:val="0000FF"/>
        </w:rPr>
      </w:pPr>
    </w:p>
    <w:p>
      <w:pPr>
        <w:spacing w:after="0" w:line="322"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8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DISTRIBUTION SOLUTIONS GROUP, INC.</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(Registrant)</w:t>
      </w:r>
    </w:p>
    <w:p>
      <w:pPr>
        <w:spacing w:after="0" w:line="288" w:lineRule="exact"/>
        <w:rPr>
          <w:sz w:val="20"/>
          <w:szCs w:val="20"/>
          <w:color w:val="auto"/>
        </w:rPr>
      </w:pPr>
    </w:p>
    <w:p>
      <w:pPr>
        <w:ind w:left="20"/>
        <w:spacing w:after="0"/>
        <w:tabs>
          <w:tab w:leader="none" w:pos="820" w:val="left"/>
          <w:tab w:leader="none" w:pos="55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March 5, 2026</w:t>
      </w:r>
      <w:r>
        <w:rPr>
          <w:sz w:val="20"/>
          <w:szCs w:val="20"/>
          <w:color w:val="auto"/>
        </w:rPr>
        <w:tab/>
      </w:r>
      <w:r>
        <w:rPr>
          <w:rFonts w:ascii="Times New Roman" w:cs="Times New Roman" w:eastAsia="Times New Roman" w:hAnsi="Times New Roman"/>
          <w:sz w:val="17"/>
          <w:szCs w:val="17"/>
          <w:color w:val="auto"/>
        </w:rPr>
        <w:t>/s/ J. Bryan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17145</wp:posOffset>
            </wp:positionV>
            <wp:extent cx="36004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2">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J. Bryan King</w:t>
      </w:r>
    </w:p>
    <w:p>
      <w:pPr>
        <w:ind w:left="5580"/>
        <w:spacing w:after="0" w:line="219" w:lineRule="auto"/>
        <w:rPr>
          <w:sz w:val="20"/>
          <w:szCs w:val="20"/>
          <w:color w:val="auto"/>
        </w:rPr>
      </w:pPr>
      <w:r>
        <w:rPr>
          <w:rFonts w:ascii="Times New Roman" w:cs="Times New Roman" w:eastAsia="Times New Roman" w:hAnsi="Times New Roman"/>
          <w:sz w:val="18"/>
          <w:szCs w:val="18"/>
          <w:color w:val="auto"/>
        </w:rPr>
        <w:t>Chairman, President and Chief Executive Officer</w:t>
      </w:r>
    </w:p>
    <w:p>
      <w:pPr>
        <w:ind w:left="55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3" w:lineRule="exact"/>
        <w:rPr>
          <w:sz w:val="20"/>
          <w:szCs w:val="20"/>
          <w:color w:val="auto"/>
        </w:rPr>
      </w:pPr>
    </w:p>
    <w:p>
      <w:pPr>
        <w:ind w:left="20"/>
        <w:spacing w:after="0"/>
        <w:tabs>
          <w:tab w:leader="none" w:pos="820" w:val="left"/>
          <w:tab w:leader="none" w:pos="55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March 5, 2026</w:t>
      </w:r>
      <w:r>
        <w:rPr>
          <w:sz w:val="20"/>
          <w:szCs w:val="20"/>
          <w:color w:val="auto"/>
        </w:rPr>
        <w:tab/>
      </w:r>
      <w:r>
        <w:rPr>
          <w:rFonts w:ascii="Times New Roman" w:cs="Times New Roman" w:eastAsia="Times New Roman" w:hAnsi="Times New Roman"/>
          <w:sz w:val="18"/>
          <w:szCs w:val="18"/>
          <w:color w:val="auto"/>
        </w:rPr>
        <w:t>/s/ Ronald J. Knutson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17145</wp:posOffset>
            </wp:positionV>
            <wp:extent cx="360045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3">
                      <a:extLst>
                        <a:ext uri="{28A0092B-C50C-407E-A947-70E740481C1C}"/>
                      </a:extLst>
                    </a:blip>
                    <a:srcRect/>
                    <a:stretch>
                      <a:fillRect/>
                    </a:stretch>
                  </pic:blipFill>
                  <pic:spPr bwMode="auto">
                    <a:xfrm>
                      <a:off x="0" y="0"/>
                      <a:ext cx="3600450" cy="8890"/>
                    </a:xfrm>
                    <a:prstGeom prst="rect">
                      <a:avLst/>
                    </a:prstGeom>
                    <a:noFill/>
                  </pic:spPr>
                </pic:pic>
              </a:graphicData>
            </a:graphic>
          </wp:anchor>
        </w:drawing>
      </w:r>
    </w:p>
    <w:p>
      <w:pPr>
        <w:spacing w:after="0" w:line="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Ronald J. Knutson</w:t>
      </w:r>
    </w:p>
    <w:p>
      <w:pPr>
        <w:ind w:left="5580"/>
        <w:spacing w:after="0" w:line="219" w:lineRule="auto"/>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ind w:left="55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19" w:lineRule="exact"/>
        <w:rPr>
          <w:sz w:val="20"/>
          <w:szCs w:val="20"/>
          <w:color w:val="auto"/>
        </w:rPr>
      </w:pPr>
    </w:p>
    <w:p>
      <w:pPr>
        <w:ind w:left="20"/>
        <w:spacing w:after="0"/>
        <w:tabs>
          <w:tab w:leader="none" w:pos="820" w:val="left"/>
          <w:tab w:leader="none" w:pos="55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March 5, 2026</w:t>
      </w:r>
      <w:r>
        <w:rPr>
          <w:sz w:val="20"/>
          <w:szCs w:val="20"/>
          <w:color w:val="auto"/>
        </w:rPr>
        <w:tab/>
      </w:r>
      <w:r>
        <w:rPr>
          <w:rFonts w:ascii="Times New Roman" w:cs="Times New Roman" w:eastAsia="Times New Roman" w:hAnsi="Times New Roman"/>
          <w:sz w:val="17"/>
          <w:szCs w:val="17"/>
          <w:color w:val="auto"/>
        </w:rPr>
        <w:t>/s/ David S. Lambert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17145</wp:posOffset>
            </wp:positionV>
            <wp:extent cx="36004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4">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David S. Lambert</w:t>
      </w:r>
    </w:p>
    <w:p>
      <w:pPr>
        <w:ind w:left="5580"/>
        <w:spacing w:after="0" w:line="219" w:lineRule="auto"/>
        <w:rPr>
          <w:sz w:val="20"/>
          <w:szCs w:val="20"/>
          <w:color w:val="auto"/>
        </w:rPr>
      </w:pPr>
      <w:r>
        <w:rPr>
          <w:rFonts w:ascii="Times New Roman" w:cs="Times New Roman" w:eastAsia="Times New Roman" w:hAnsi="Times New Roman"/>
          <w:sz w:val="18"/>
          <w:szCs w:val="18"/>
          <w:color w:val="auto"/>
        </w:rPr>
        <w:t>Vice President, Controller and Chief Accounting Officer</w:t>
      </w:r>
    </w:p>
    <w:p>
      <w:pPr>
        <w:ind w:left="55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5"/>
              </w:rPr>
              <w:t>Signature</w:t>
            </w:r>
          </w:p>
        </w:tc>
        <w:tc>
          <w:tcPr>
            <w:tcW w:w="14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980" w:type="dxa"/>
            <w:vAlign w:val="bottom"/>
            <w:gridSpan w:val="2"/>
          </w:tcPr>
          <w:p>
            <w:pPr>
              <w:jc w:val="center"/>
              <w:ind w:right="262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840" w:type="dxa"/>
            <w:vAlign w:val="bottom"/>
          </w:tcPr>
          <w:p>
            <w:pPr>
              <w:spacing w:after="0"/>
              <w:rPr>
                <w:sz w:val="17"/>
                <w:szCs w:val="17"/>
                <w:color w:val="auto"/>
              </w:rPr>
            </w:pPr>
          </w:p>
        </w:tc>
        <w:tc>
          <w:tcPr>
            <w:tcW w:w="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2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9"/>
              </w:rPr>
              <w:t>Chairman, President and Chief Executive Officer</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J. Bryan King</w:t>
            </w:r>
          </w:p>
        </w:tc>
        <w:tc>
          <w:tcPr>
            <w:tcW w:w="582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56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auto"/>
              </w:rPr>
              <w:t>March 5, 2026</w:t>
            </w:r>
          </w:p>
        </w:tc>
        <w:tc>
          <w:tcPr>
            <w:tcW w:w="0" w:type="dxa"/>
            <w:vAlign w:val="bottom"/>
          </w:tcPr>
          <w:p>
            <w:pPr>
              <w:spacing w:after="0"/>
              <w:rPr>
                <w:sz w:val="1"/>
                <w:szCs w:val="1"/>
                <w:color w:val="auto"/>
              </w:rPr>
            </w:pPr>
          </w:p>
        </w:tc>
      </w:tr>
      <w:tr>
        <w:trPr>
          <w:trHeight w:val="228"/>
        </w:trPr>
        <w:tc>
          <w:tcPr>
            <w:tcW w:w="3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 Bryan King</w:t>
            </w:r>
          </w:p>
        </w:tc>
        <w:tc>
          <w:tcPr>
            <w:tcW w:w="5820" w:type="dxa"/>
            <w:vAlign w:val="bottom"/>
            <w:gridSpan w:val="3"/>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w w:val="99"/>
              </w:rPr>
              <w:t>Executive Vice President, Chief Financial Officer and Treasurer</w:t>
            </w: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1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820" w:type="dxa"/>
            <w:vAlign w:val="bottom"/>
            <w:gridSpan w:val="3"/>
            <w:vMerge w:val="continue"/>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6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Ronald J. Knutson</w:t>
            </w:r>
          </w:p>
        </w:tc>
        <w:tc>
          <w:tcPr>
            <w:tcW w:w="582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56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auto"/>
              </w:rPr>
              <w:t>March 5, 2026</w:t>
            </w:r>
          </w:p>
        </w:tc>
        <w:tc>
          <w:tcPr>
            <w:tcW w:w="0" w:type="dxa"/>
            <w:vAlign w:val="bottom"/>
          </w:tcPr>
          <w:p>
            <w:pPr>
              <w:spacing w:after="0"/>
              <w:rPr>
                <w:sz w:val="1"/>
                <w:szCs w:val="1"/>
                <w:color w:val="auto"/>
              </w:rPr>
            </w:pPr>
          </w:p>
        </w:tc>
      </w:tr>
      <w:tr>
        <w:trPr>
          <w:trHeight w:val="228"/>
        </w:trPr>
        <w:tc>
          <w:tcPr>
            <w:tcW w:w="3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Ronald J. Knutson</w:t>
            </w:r>
          </w:p>
        </w:tc>
        <w:tc>
          <w:tcPr>
            <w:tcW w:w="5820" w:type="dxa"/>
            <w:vAlign w:val="bottom"/>
            <w:gridSpan w:val="3"/>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w w:val="99"/>
              </w:rPr>
              <w:t>Vice President, Controller and Chief Accounting Officer</w:t>
            </w: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1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820" w:type="dxa"/>
            <w:vAlign w:val="bottom"/>
            <w:gridSpan w:val="3"/>
            <w:vMerge w:val="continue"/>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6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David S. Lambert</w:t>
            </w:r>
          </w:p>
        </w:tc>
        <w:tc>
          <w:tcPr>
            <w:tcW w:w="582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56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auto"/>
              </w:rPr>
              <w:t>March 5, 2026</w:t>
            </w:r>
          </w:p>
        </w:tc>
        <w:tc>
          <w:tcPr>
            <w:tcW w:w="0" w:type="dxa"/>
            <w:vAlign w:val="bottom"/>
          </w:tcPr>
          <w:p>
            <w:pPr>
              <w:spacing w:after="0"/>
              <w:rPr>
                <w:sz w:val="1"/>
                <w:szCs w:val="1"/>
                <w:color w:val="auto"/>
              </w:rPr>
            </w:pPr>
          </w:p>
        </w:tc>
      </w:tr>
      <w:tr>
        <w:trPr>
          <w:trHeight w:val="228"/>
        </w:trPr>
        <w:tc>
          <w:tcPr>
            <w:tcW w:w="3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David S. Lambert</w:t>
            </w:r>
          </w:p>
        </w:tc>
        <w:tc>
          <w:tcPr>
            <w:tcW w:w="2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6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I. Steven Edelson</w:t>
            </w:r>
          </w:p>
        </w:tc>
        <w:tc>
          <w:tcPr>
            <w:tcW w:w="582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9"/>
              </w:rPr>
              <w:t>Director</w:t>
            </w:r>
          </w:p>
        </w:tc>
        <w:tc>
          <w:tcPr>
            <w:tcW w:w="156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auto"/>
              </w:rPr>
              <w:t>March 5, 2026</w:t>
            </w:r>
          </w:p>
        </w:tc>
        <w:tc>
          <w:tcPr>
            <w:tcW w:w="0" w:type="dxa"/>
            <w:vAlign w:val="bottom"/>
          </w:tcPr>
          <w:p>
            <w:pPr>
              <w:spacing w:after="0"/>
              <w:rPr>
                <w:sz w:val="1"/>
                <w:szCs w:val="1"/>
                <w:color w:val="auto"/>
              </w:rPr>
            </w:pPr>
          </w:p>
        </w:tc>
      </w:tr>
      <w:tr>
        <w:trPr>
          <w:trHeight w:val="228"/>
        </w:trPr>
        <w:tc>
          <w:tcPr>
            <w:tcW w:w="3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 Steven Edelson</w:t>
            </w:r>
          </w:p>
        </w:tc>
        <w:tc>
          <w:tcPr>
            <w:tcW w:w="2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6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Lee S. Hillman</w:t>
            </w:r>
          </w:p>
        </w:tc>
        <w:tc>
          <w:tcPr>
            <w:tcW w:w="582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9"/>
              </w:rPr>
              <w:t>Director</w:t>
            </w:r>
          </w:p>
        </w:tc>
        <w:tc>
          <w:tcPr>
            <w:tcW w:w="156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auto"/>
              </w:rPr>
              <w:t>March 5, 2026</w:t>
            </w:r>
          </w:p>
        </w:tc>
        <w:tc>
          <w:tcPr>
            <w:tcW w:w="0" w:type="dxa"/>
            <w:vAlign w:val="bottom"/>
          </w:tcPr>
          <w:p>
            <w:pPr>
              <w:spacing w:after="0"/>
              <w:rPr>
                <w:sz w:val="1"/>
                <w:szCs w:val="1"/>
                <w:color w:val="auto"/>
              </w:rPr>
            </w:pPr>
          </w:p>
        </w:tc>
      </w:tr>
      <w:tr>
        <w:trPr>
          <w:trHeight w:val="228"/>
        </w:trPr>
        <w:tc>
          <w:tcPr>
            <w:tcW w:w="3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Lee S. Hillman</w:t>
            </w:r>
          </w:p>
        </w:tc>
        <w:tc>
          <w:tcPr>
            <w:tcW w:w="2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6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Mark F. Moon</w:t>
            </w:r>
          </w:p>
        </w:tc>
        <w:tc>
          <w:tcPr>
            <w:tcW w:w="582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9"/>
              </w:rPr>
              <w:t>Director</w:t>
            </w:r>
          </w:p>
        </w:tc>
        <w:tc>
          <w:tcPr>
            <w:tcW w:w="156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auto"/>
              </w:rPr>
              <w:t>March 5, 2026</w:t>
            </w:r>
          </w:p>
        </w:tc>
        <w:tc>
          <w:tcPr>
            <w:tcW w:w="0" w:type="dxa"/>
            <w:vAlign w:val="bottom"/>
          </w:tcPr>
          <w:p>
            <w:pPr>
              <w:spacing w:after="0"/>
              <w:rPr>
                <w:sz w:val="1"/>
                <w:szCs w:val="1"/>
                <w:color w:val="auto"/>
              </w:rPr>
            </w:pPr>
          </w:p>
        </w:tc>
      </w:tr>
      <w:tr>
        <w:trPr>
          <w:trHeight w:val="228"/>
        </w:trPr>
        <w:tc>
          <w:tcPr>
            <w:tcW w:w="3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Mark F. Moon</w:t>
            </w:r>
          </w:p>
        </w:tc>
        <w:tc>
          <w:tcPr>
            <w:tcW w:w="2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6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Bianca A. Rhodes</w:t>
            </w:r>
          </w:p>
        </w:tc>
        <w:tc>
          <w:tcPr>
            <w:tcW w:w="582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9"/>
              </w:rPr>
              <w:t>Director</w:t>
            </w:r>
          </w:p>
        </w:tc>
        <w:tc>
          <w:tcPr>
            <w:tcW w:w="156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auto"/>
              </w:rPr>
              <w:t>March 5, 2026</w:t>
            </w:r>
          </w:p>
        </w:tc>
        <w:tc>
          <w:tcPr>
            <w:tcW w:w="0" w:type="dxa"/>
            <w:vAlign w:val="bottom"/>
          </w:tcPr>
          <w:p>
            <w:pPr>
              <w:spacing w:after="0"/>
              <w:rPr>
                <w:sz w:val="1"/>
                <w:szCs w:val="1"/>
                <w:color w:val="auto"/>
              </w:rPr>
            </w:pPr>
          </w:p>
        </w:tc>
      </w:tr>
      <w:tr>
        <w:trPr>
          <w:trHeight w:val="228"/>
        </w:trPr>
        <w:tc>
          <w:tcPr>
            <w:tcW w:w="3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Bianca A. Rhodes</w:t>
            </w:r>
          </w:p>
        </w:tc>
        <w:tc>
          <w:tcPr>
            <w:tcW w:w="2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6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M. Bradley Wallace</w:t>
            </w:r>
          </w:p>
        </w:tc>
        <w:tc>
          <w:tcPr>
            <w:tcW w:w="582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9"/>
              </w:rPr>
              <w:t>Director</w:t>
            </w:r>
          </w:p>
        </w:tc>
        <w:tc>
          <w:tcPr>
            <w:tcW w:w="156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auto"/>
              </w:rPr>
              <w:t>March 5, 2026</w:t>
            </w:r>
          </w:p>
        </w:tc>
        <w:tc>
          <w:tcPr>
            <w:tcW w:w="0" w:type="dxa"/>
            <w:vAlign w:val="bottom"/>
          </w:tcPr>
          <w:p>
            <w:pPr>
              <w:spacing w:after="0"/>
              <w:rPr>
                <w:sz w:val="1"/>
                <w:szCs w:val="1"/>
                <w:color w:val="auto"/>
              </w:rPr>
            </w:pPr>
          </w:p>
        </w:tc>
      </w:tr>
      <w:tr>
        <w:trPr>
          <w:trHeight w:val="228"/>
        </w:trPr>
        <w:tc>
          <w:tcPr>
            <w:tcW w:w="3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 Bradley Wallace</w:t>
            </w:r>
          </w:p>
        </w:tc>
        <w:tc>
          <w:tcPr>
            <w:tcW w:w="2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6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Robert S. Zamarripa</w:t>
            </w:r>
          </w:p>
        </w:tc>
        <w:tc>
          <w:tcPr>
            <w:tcW w:w="582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9"/>
              </w:rPr>
              <w:t>Director</w:t>
            </w:r>
          </w:p>
        </w:tc>
        <w:tc>
          <w:tcPr>
            <w:tcW w:w="156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auto"/>
              </w:rPr>
              <w:t>March 5, 2026</w:t>
            </w:r>
          </w:p>
        </w:tc>
        <w:tc>
          <w:tcPr>
            <w:tcW w:w="0" w:type="dxa"/>
            <w:vAlign w:val="bottom"/>
          </w:tcPr>
          <w:p>
            <w:pPr>
              <w:spacing w:after="0"/>
              <w:rPr>
                <w:sz w:val="1"/>
                <w:szCs w:val="1"/>
                <w:color w:val="auto"/>
              </w:rPr>
            </w:pPr>
          </w:p>
        </w:tc>
      </w:tr>
      <w:tr>
        <w:trPr>
          <w:trHeight w:val="228"/>
        </w:trPr>
        <w:tc>
          <w:tcPr>
            <w:tcW w:w="3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Robert S. Zamarripa</w:t>
            </w:r>
          </w:p>
        </w:tc>
        <w:tc>
          <w:tcPr>
            <w:tcW w:w="2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20"/>
          </w:cols>
          <w:pgMar w:left="320" w:top="121" w:right="35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summary is a description of the material terms of the common stock ("common stock") of Distribution Solutions Group, Inc. (referred to herein as "we", "us" or "our"). This summary is not meant to be complete and is qualified by reference to the applicable provisions of the Delaware General Corporation Law ("DGCL") and our certificate of incorporation and bylaws, each as amended. You are urged to read those documents carefully. Copies of our certificate of incorporation and bylaws are filed as Exhibits 3.1 and 3.2 to our Annual Report on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Capitalization</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currently authorized to issue 70,000,000 shares of common stock, $1.00 par value per share and 500,000 shares of preferred stock, $1.00 par value per share. On February 27, 2026, there were 46,186,293 shares of our common stock outstanding. There are no shares of preferred stock outstanding.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56"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Issuance of Common Stock. Shares of common stock may be issued from time to time as our board shall determine and, on such terms, and for such consideration, as shall be fixed by the board.</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Dividends and Rights Upon Liquidation. After the requirements with respect to preferential dividends on preferred stock, if any, are met, the holders of our outstanding common stock are entitled to receive dividends out of assets legally available at the time and in such amounts as the board may from time to time determine. Our common stock is not convertible or exchangeable into other securities. Upon our liquidation, dissolution or winding up, the holders of our common stock are entitled to receive the assets that are legally available for distribution on a pro rata basis, after payment of all of our debts and other liabilities and subject to the prior rights of holders of any preferred stock then outstanding. The Company does not currently pay a dividend on its common stock.</w:t>
      </w:r>
    </w:p>
    <w:p>
      <w:pPr>
        <w:spacing w:after="0" w:line="21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Voting Rights. The holders of the common stock are entitled to vote at all meetings of the stockholders and are entitled to cast one vote for each share of common stock held by them respectively and standing in their respective names on the books of the Company. Each stockholder is entitled to cumulative voting with respect to the election of directors which entitles stockholders to add all of the votes they have for directors and cast such votes for any single director or distribute them among directors.</w:t>
      </w:r>
    </w:p>
    <w:p>
      <w:pPr>
        <w:spacing w:after="0" w:line="20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Preemptive Rights. Holders of our common stock do not have preemptive rights with respect to any shares that may be issued. Shares of our common stock are not subject to redemption.</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Business Combinations. The Company's certificate of incorporation requires (i) the affirmative vote of holders of not less than 75% of the voting power of the Company to approve any merger, any sale of the Company or substantially all of its assets or the issuance of any securities in exchange for assets having a value equal or greater to 5% of the assets of the Company in a transaction with a stockholder holding 10% or more of our common stock (the "10% stockholder") and (ii) the approval of such transaction by holders of a majority of the voting power not owned by the 10% stockholder. The above requirements do not apply to (x) a transaction with respect to which the board has approved a memorandum of understanding prior to the time such other entity becomes a 10% stockholder or (y) transactions approved by two-thirds of the directors who are not representatives or affiliates of the 10% stockholder.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Relevant Provisions of the Delaware Business Corporation Law</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stockholder. An "interested stockholder" is a person who, together with affiliates and associates, owns, or within three years of the date on which it is sought to be determined whether such person is an "interested stockholder," did own, 15% or more of the corporation's outstanding voting stock. These provisions may have the effect of delaying, deferring or preventing a change in control.</w:t>
      </w:r>
    </w:p>
    <w:p>
      <w:pPr>
        <w:sectPr>
          <w:pgSz w:w="11900" w:h="16838" w:orient="portrait"/>
          <w:cols w:equalWidth="0" w:num="1">
            <w:col w:w="11240"/>
          </w:cols>
          <w:pgMar w:left="320" w:top="1089"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The transfer agent and registrar for any preferred stock we issue will be set forth in the applicable prospectus supplement.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"DSGR".</w:t>
      </w:r>
    </w:p>
    <w:p>
      <w:pPr>
        <w:sectPr>
          <w:pgSz w:w="11900" w:h="16838" w:orient="portrait"/>
          <w:cols w:equalWidth="0" w:num="1">
            <w:col w:w="11240"/>
          </w:cols>
          <w:pgMar w:left="320" w:top="1089"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22"/>
          <w:szCs w:val="22"/>
          <w:b w:val="1"/>
          <w:bCs w:val="1"/>
          <w:color w:val="auto"/>
        </w:rPr>
        <w:t>EXHIBIT 10.11</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Form of Restricted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DISTRIBUTION SOLUTIONS GROUP, INC. AWARD AGREEMENT</w:t>
      </w:r>
    </w:p>
    <w:p>
      <w:pPr>
        <w:spacing w:after="0" w:line="2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This award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this ____________,20__ by and between Distribution Solutions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_____________(the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w:t>
      </w:r>
    </w:p>
    <w:p>
      <w:pPr>
        <w:spacing w:after="0" w:line="236"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22"/>
          <w:szCs w:val="22"/>
          <w:color w:val="auto"/>
        </w:rPr>
        <w:t>WHEREAS, the Compensation Committee of the Board of Directors of the Company (the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has selected the Participant to receive awards under the Distribution Solutions Group, Inc. Equity Compensation Plan, as amended and restated effective October 17, 2022 (as amended on November 10, 2022, and as the same may be further amended from time to time, the “</w:t>
      </w:r>
      <w:r>
        <w:rPr>
          <w:rFonts w:ascii="Times New Roman" w:cs="Times New Roman" w:eastAsia="Times New Roman" w:hAnsi="Times New Roman"/>
          <w:sz w:val="22"/>
          <w:szCs w:val="22"/>
          <w:u w:val="single" w:color="auto"/>
          <w:color w:val="auto"/>
        </w:rPr>
        <w:t>Equity Compensation Plan</w:t>
      </w:r>
      <w:r>
        <w:rPr>
          <w:rFonts w:ascii="Times New Roman" w:cs="Times New Roman" w:eastAsia="Times New Roman" w:hAnsi="Times New Roman"/>
          <w:sz w:val="22"/>
          <w:szCs w:val="22"/>
          <w:color w:val="auto"/>
        </w:rPr>
        <w:t>”); and</w:t>
      </w:r>
    </w:p>
    <w:p>
      <w:pPr>
        <w:spacing w:after="0" w:line="206" w:lineRule="exact"/>
        <w:rPr>
          <w:sz w:val="20"/>
          <w:szCs w:val="20"/>
          <w:color w:val="auto"/>
        </w:rPr>
      </w:pPr>
    </w:p>
    <w:p>
      <w:pPr>
        <w:jc w:val="both"/>
        <w:ind w:firstLine="282"/>
        <w:spacing w:after="0" w:line="284" w:lineRule="auto"/>
        <w:rPr>
          <w:sz w:val="20"/>
          <w:szCs w:val="20"/>
          <w:color w:val="auto"/>
        </w:rPr>
      </w:pPr>
      <w:r>
        <w:rPr>
          <w:rFonts w:ascii="Times New Roman" w:cs="Times New Roman" w:eastAsia="Times New Roman" w:hAnsi="Times New Roman"/>
          <w:sz w:val="22"/>
          <w:szCs w:val="22"/>
          <w:color w:val="auto"/>
        </w:rPr>
        <w:t>WHEREAS, the Participant wishes to accept those awards, subject to the terms and conditions of the Equity Compensation Plan and this Agreement;</w:t>
      </w:r>
    </w:p>
    <w:p>
      <w:pPr>
        <w:spacing w:after="0" w:line="1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NOW, THEREFORE, the Company and the Participant hereby agree as follows:</w:t>
      </w:r>
    </w:p>
    <w:p>
      <w:pPr>
        <w:spacing w:after="0" w:line="241" w:lineRule="exact"/>
        <w:rPr>
          <w:sz w:val="20"/>
          <w:szCs w:val="20"/>
          <w:color w:val="auto"/>
        </w:rPr>
      </w:pPr>
    </w:p>
    <w:p>
      <w:pPr>
        <w:jc w:val="both"/>
        <w:ind w:firstLine="656"/>
        <w:spacing w:after="0" w:line="235" w:lineRule="auto"/>
        <w:tabs>
          <w:tab w:leader="none" w:pos="1296"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awards evidenced by this Agreement (the “Award”) are effective as of ____________</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Grant Date</w:t>
      </w:r>
      <w:r>
        <w:rPr>
          <w:rFonts w:ascii="Times New Roman" w:cs="Times New Roman" w:eastAsia="Times New Roman" w:hAnsi="Times New Roman"/>
          <w:sz w:val="21"/>
          <w:szCs w:val="21"/>
          <w:color w:val="auto"/>
        </w:rPr>
        <w:t>”) and consist of _________________ Restricted Stock Units (“</w:t>
      </w:r>
      <w:r>
        <w:rPr>
          <w:rFonts w:ascii="Times New Roman" w:cs="Times New Roman" w:eastAsia="Times New Roman" w:hAnsi="Times New Roman"/>
          <w:sz w:val="21"/>
          <w:szCs w:val="21"/>
          <w:u w:val="single" w:color="auto"/>
          <w:color w:val="auto"/>
        </w:rPr>
        <w:t>RSUs</w:t>
      </w:r>
      <w:r>
        <w:rPr>
          <w:rFonts w:ascii="Times New Roman" w:cs="Times New Roman" w:eastAsia="Times New Roman" w:hAnsi="Times New Roman"/>
          <w:sz w:val="21"/>
          <w:szCs w:val="21"/>
          <w:color w:val="auto"/>
        </w:rPr>
        <w:t xml:space="preserve">”) under the Equity Compensation Plan. Subject to </w:t>
      </w:r>
      <w:r>
        <w:rPr>
          <w:rFonts w:ascii="Times New Roman" w:cs="Times New Roman" w:eastAsia="Times New Roman" w:hAnsi="Times New Roman"/>
          <w:sz w:val="21"/>
          <w:szCs w:val="21"/>
          <w:u w:val="single" w:color="auto"/>
          <w:color w:val="auto"/>
        </w:rPr>
        <w:t>Sections 2</w:t>
      </w:r>
      <w:r>
        <w:rPr>
          <w:rFonts w:ascii="Times New Roman" w:cs="Times New Roman" w:eastAsia="Times New Roman" w:hAnsi="Times New Roman"/>
          <w:sz w:val="21"/>
          <w:szCs w:val="21"/>
          <w:color w:val="auto"/>
        </w:rPr>
        <w:t xml:space="preserve"> – </w:t>
      </w:r>
      <w:r>
        <w:rPr>
          <w:rFonts w:ascii="Times New Roman" w:cs="Times New Roman" w:eastAsia="Times New Roman" w:hAnsi="Times New Roman"/>
          <w:sz w:val="21"/>
          <w:szCs w:val="21"/>
          <w:u w:val="single" w:color="auto"/>
          <w:color w:val="auto"/>
        </w:rPr>
        <w:t>5</w:t>
      </w:r>
      <w:r>
        <w:rPr>
          <w:rFonts w:ascii="Times New Roman" w:cs="Times New Roman" w:eastAsia="Times New Roman" w:hAnsi="Times New Roman"/>
          <w:sz w:val="21"/>
          <w:szCs w:val="21"/>
          <w:color w:val="auto"/>
        </w:rPr>
        <w:t xml:space="preserve"> of this Agreement, one-quarter (1/4) of the RSUs shall vest and become exercisable on ____________</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1"/>
          <w:szCs w:val="21"/>
          <w:color w:val="auto"/>
        </w:rPr>
        <w:t xml:space="preserve"> (“Initial Vesting Date”), and thereafter one-quarter (1/4) of the RSUs shall vest on each of the three subsequent anniversaries of the Initial Vesting Date (i.e., __________, ___________, __________) (each, a “Vesting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Participant remains continuously employed by the Company through such respective dates, except as otherwise provided in this Agreement.</w:t>
      </w:r>
      <w:r>
        <w:rPr>
          <w:rFonts w:ascii="Times New Roman" w:cs="Times New Roman" w:eastAsia="Times New Roman" w:hAnsi="Times New Roman"/>
          <w:sz w:val="27"/>
          <w:szCs w:val="27"/>
          <w:color w:val="auto"/>
          <w:vertAlign w:val="superscript"/>
        </w:rPr>
        <w:t>3</w:t>
      </w:r>
      <w:r>
        <w:rPr>
          <w:rFonts w:ascii="Times New Roman" w:cs="Times New Roman" w:eastAsia="Times New Roman" w:hAnsi="Times New Roman"/>
          <w:sz w:val="21"/>
          <w:szCs w:val="21"/>
          <w:color w:val="auto"/>
        </w:rPr>
        <w:t xml:space="preserve"> Upon the vesting of all or a portion of the Award, one share of Common Stock shall be distributed to the participant for each vested RSU;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Participant remains continuously employed by the Company through such respective distribution dates.</w:t>
      </w:r>
    </w:p>
    <w:p>
      <w:pPr>
        <w:spacing w:after="0" w:line="219" w:lineRule="exact"/>
        <w:rPr>
          <w:rFonts w:ascii="Times New Roman" w:cs="Times New Roman" w:eastAsia="Times New Roman" w:hAnsi="Times New Roman"/>
          <w:sz w:val="21"/>
          <w:szCs w:val="21"/>
          <w:color w:val="auto"/>
        </w:rPr>
      </w:pPr>
    </w:p>
    <w:p>
      <w:pPr>
        <w:jc w:val="both"/>
        <w:ind w:firstLine="656"/>
        <w:spacing w:after="0" w:line="251" w:lineRule="auto"/>
        <w:tabs>
          <w:tab w:leader="none" w:pos="129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termination of the Participant’s employment with the Company and all of its affiliates for any reason, including by voluntary resignation by the Participant, but other than a termination by the Company without Cause (as defined in Section 1.5 of the Equity Compensation Plan), or upon the Participant’s death or Disability (as defined in Section 1.11 of the Equity Compensation Plan), the unvested portions of the Award evidenced by this Agreement shall be immediately cancelled and forfeited and neither the Company nor any Subsidiary shall have any further obligations to the Participant under this Agreement with respect to such cancelled and forfeited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16459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6">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40" w:hanging="132"/>
        <w:spacing w:after="0"/>
        <w:tabs>
          <w:tab w:leader="none" w:pos="140" w:val="left"/>
        </w:tabs>
        <w:numPr>
          <w:ilvl w:val="0"/>
          <w:numId w:val="3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0"/>
          <w:szCs w:val="20"/>
          <w:color w:val="auto"/>
        </w:rPr>
        <w:t>Insert date of Board approval of grant.</w:t>
      </w:r>
    </w:p>
    <w:p>
      <w:pPr>
        <w:ind w:left="120" w:hanging="112"/>
        <w:spacing w:after="0" w:line="195" w:lineRule="auto"/>
        <w:tabs>
          <w:tab w:leader="none" w:pos="120" w:val="left"/>
        </w:tabs>
        <w:numPr>
          <w:ilvl w:val="0"/>
          <w:numId w:val="3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Insert date one year from Grant Date. Note that vesting terms may vary for each Participant or may default to plan terms.</w:t>
      </w:r>
    </w:p>
    <w:p>
      <w:pPr>
        <w:spacing w:after="0" w:line="33" w:lineRule="exact"/>
        <w:rPr>
          <w:rFonts w:ascii="Times New Roman" w:cs="Times New Roman" w:eastAsia="Times New Roman" w:hAnsi="Times New Roman"/>
          <w:sz w:val="26"/>
          <w:szCs w:val="26"/>
          <w:color w:val="auto"/>
          <w:vertAlign w:val="superscript"/>
        </w:rPr>
      </w:pPr>
    </w:p>
    <w:p>
      <w:pPr>
        <w:spacing w:after="0"/>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20"/>
          <w:szCs w:val="20"/>
          <w:color w:val="auto"/>
        </w:rPr>
        <w:t xml:space="preserve"> Refer to corporate clawback policy if applicable.</w:t>
      </w:r>
    </w:p>
    <w:p>
      <w:pPr>
        <w:sectPr>
          <w:pgSz w:w="11900" w:h="16838" w:orient="portrait"/>
          <w:cols w:equalWidth="0" w:num="1">
            <w:col w:w="11240"/>
          </w:cols>
          <w:pgMar w:left="320" w:top="122" w:right="339" w:bottom="1440" w:gutter="0" w:footer="0" w:header="0"/>
        </w:sectPr>
      </w:pPr>
    </w:p>
    <w:bookmarkStart w:id="99" w:name="page100"/>
    <w:bookmarkEnd w:id="99"/>
    <w:p>
      <w:pPr>
        <w:ind w:firstLine="656"/>
        <w:spacing w:after="0" w:line="271" w:lineRule="auto"/>
        <w:tabs>
          <w:tab w:leader="none" w:pos="129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termination of the Participant’s employment with the Company and all of its affiliates by the Company without Cause, or upon the Participant’s death or Disability, except as otherwise provided herein:</w:t>
      </w:r>
    </w:p>
    <w:p>
      <w:pPr>
        <w:spacing w:after="0" w:line="184" w:lineRule="exact"/>
        <w:rPr>
          <w:rFonts w:ascii="Times New Roman" w:cs="Times New Roman" w:eastAsia="Times New Roman" w:hAnsi="Times New Roman"/>
          <w:sz w:val="22"/>
          <w:szCs w:val="22"/>
          <w:color w:val="auto"/>
        </w:rPr>
      </w:pPr>
    </w:p>
    <w:p>
      <w:pPr>
        <w:jc w:val="both"/>
        <w:ind w:left="1300" w:hanging="320"/>
        <w:spacing w:after="0" w:line="258" w:lineRule="auto"/>
        <w:tabs>
          <w:tab w:leader="none" w:pos="1297"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shall vest in the number of RSUs which would have vested had the Participant continued to provide Services to the Company through the next Vesting Date multiplied by a fraction, the numerator of which shall be the number of days between the Award Date (or the most recent Vesting Date, if the termination date occurs after the first Vesting Date) and the date the Participant’s Service was terminated and the denominator of which shall be 365.</w:t>
      </w:r>
      <w:r>
        <w:rPr>
          <w:rFonts w:ascii="Times New Roman" w:cs="Times New Roman" w:eastAsia="Times New Roman" w:hAnsi="Times New Roman"/>
          <w:sz w:val="28"/>
          <w:szCs w:val="28"/>
          <w:color w:val="auto"/>
          <w:vertAlign w:val="superscript"/>
        </w:rPr>
        <w:t>4</w:t>
      </w:r>
    </w:p>
    <w:p>
      <w:pPr>
        <w:spacing w:after="0" w:line="105" w:lineRule="exact"/>
        <w:rPr>
          <w:rFonts w:ascii="Times New Roman" w:cs="Times New Roman" w:eastAsia="Times New Roman" w:hAnsi="Times New Roman"/>
          <w:sz w:val="22"/>
          <w:szCs w:val="22"/>
          <w:color w:val="auto"/>
        </w:rPr>
      </w:pPr>
    </w:p>
    <w:p>
      <w:pPr>
        <w:jc w:val="both"/>
        <w:ind w:left="1300" w:hanging="320"/>
        <w:spacing w:after="0" w:line="263" w:lineRule="auto"/>
        <w:tabs>
          <w:tab w:leader="none" w:pos="1295"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applying clause (a) above, any and all remaining unvested portions of the Award shall be cancelled as of the effective date of the termination of Service and neither the Company nor any Subsidiary shall have any further obligations to the Participant under this Agreement with respect to such cancelled RSUs.</w:t>
      </w:r>
    </w:p>
    <w:p>
      <w:pPr>
        <w:spacing w:after="0" w:line="194"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termination of the Participant’s employment with the Company and all of its affiliates for Cause (as defined in Section 1.5 of the Equity Compensation Plan), then all vested (but only to the extent not settled), all unvested portions of the Award shall be immediately cancelled and forfeited and neither the Company nor any Subsidiary shall have any further obligations to the Participant under this Agreement with respect to such cancelled and forfeited RSUs, and, to the extent applicable, the repayment provisions in Section 14.2 of the Equity Compensation Plan shall apply.</w:t>
      </w:r>
    </w:p>
    <w:p>
      <w:pPr>
        <w:spacing w:after="0" w:line="199" w:lineRule="exact"/>
        <w:rPr>
          <w:rFonts w:ascii="Times New Roman" w:cs="Times New Roman" w:eastAsia="Times New Roman" w:hAnsi="Times New Roman"/>
          <w:sz w:val="22"/>
          <w:szCs w:val="22"/>
          <w:color w:val="auto"/>
        </w:rPr>
      </w:pPr>
    </w:p>
    <w:p>
      <w:pPr>
        <w:jc w:val="both"/>
        <w:ind w:firstLine="656"/>
        <w:spacing w:after="0" w:line="238" w:lineRule="auto"/>
        <w:tabs>
          <w:tab w:leader="none" w:pos="129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Change in Control, the terms of Section 13.0 of the Equity Compensation Plan shall apply.</w:t>
      </w:r>
      <w:r>
        <w:rPr>
          <w:rFonts w:ascii="Times New Roman" w:cs="Times New Roman" w:eastAsia="Times New Roman" w:hAnsi="Times New Roman"/>
          <w:sz w:val="28"/>
          <w:szCs w:val="28"/>
          <w:color w:val="auto"/>
          <w:vertAlign w:val="superscript"/>
        </w:rPr>
        <w:t>5</w:t>
      </w:r>
      <w:r>
        <w:rPr>
          <w:rFonts w:ascii="Times New Roman" w:cs="Times New Roman" w:eastAsia="Times New Roman" w:hAnsi="Times New Roman"/>
          <w:sz w:val="22"/>
          <w:szCs w:val="22"/>
          <w:color w:val="auto"/>
        </w:rPr>
        <w:t xml:space="preserve"> For purposes of this provision, Change in Control shall have the meaning set forth in Section 1.6 of the Equity Compensation Plan, provided that in no event will a Change in Control occur if, following the consummation of a transaction, Luther King Capital Management Corporation or any of its affiliates remain the majority holder of the equity interests of the Company (or the successor entity to the Company in such transaction).</w:t>
      </w:r>
    </w:p>
    <w:p>
      <w:pPr>
        <w:spacing w:after="0" w:line="194"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vesting of RSUs evidenced by this Agreement shall be subject to compliance with all applicable tax withholding requirements, in accordance with Article 15 of the Equity Compensation Plan, as applicable.</w:t>
      </w:r>
    </w:p>
    <w:p>
      <w:pPr>
        <w:spacing w:after="0" w:line="157"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under this Agreement are intended to be exempt from or comply with Section 409A of the Internal Revenue Code of 1986, as amended, and the regulations issued thereunder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and the terms and conditions of this Agreement shall be deemed automatically amended to the extent necessary to produce such compliance (in the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16459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7">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60" w:lineRule="exact"/>
        <w:rPr>
          <w:sz w:val="20"/>
          <w:szCs w:val="20"/>
          <w:color w:val="auto"/>
        </w:rPr>
      </w:pPr>
    </w:p>
    <w:p>
      <w:pPr>
        <w:jc w:val="both"/>
        <w:ind w:right="220" w:firstLine="8"/>
        <w:spacing w:after="0" w:line="228" w:lineRule="auto"/>
        <w:tabs>
          <w:tab w:leader="none" w:pos="124" w:val="left"/>
        </w:tabs>
        <w:numPr>
          <w:ilvl w:val="0"/>
          <w:numId w:val="4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0"/>
          <w:szCs w:val="20"/>
          <w:color w:val="auto"/>
        </w:rPr>
        <w:t>The terms of this subsection (a) are not required under the Equity Compensation Plan, but we understand that they have historically been included in some award agreements. If not desired, Section 3 may be deleted and Section 2 would be revised to apply to any termination of employment except for Cause.</w:t>
      </w:r>
    </w:p>
    <w:p>
      <w:pPr>
        <w:spacing w:after="0" w:line="1" w:lineRule="exact"/>
        <w:rPr>
          <w:rFonts w:ascii="Times New Roman" w:cs="Times New Roman" w:eastAsia="Times New Roman" w:hAnsi="Times New Roman"/>
          <w:sz w:val="28"/>
          <w:szCs w:val="28"/>
          <w:color w:val="auto"/>
          <w:vertAlign w:val="superscript"/>
        </w:rPr>
      </w:pPr>
    </w:p>
    <w:p>
      <w:pPr>
        <w:spacing w:after="0"/>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8"/>
          <w:szCs w:val="28"/>
          <w:color w:val="auto"/>
          <w:vertAlign w:val="superscript"/>
        </w:rPr>
        <w:t>5</w:t>
      </w:r>
      <w:r>
        <w:rPr>
          <w:rFonts w:ascii="Times New Roman" w:cs="Times New Roman" w:eastAsia="Times New Roman" w:hAnsi="Times New Roman"/>
          <w:sz w:val="20"/>
          <w:szCs w:val="20"/>
          <w:color w:val="auto"/>
        </w:rPr>
        <w:t xml:space="preserve"> Plan terms apply unless accelerated vesting of equity is required under an executive’s employment agreement.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100" w:name="page101"/>
    <w:bookmarkEnd w:id="100"/>
    <w:p>
      <w:pPr>
        <w:jc w:val="both"/>
        <w:spacing w:after="0" w:line="250" w:lineRule="auto"/>
        <w:rPr>
          <w:sz w:val="20"/>
          <w:szCs w:val="20"/>
          <w:color w:val="auto"/>
        </w:rPr>
      </w:pPr>
      <w:r>
        <w:rPr>
          <w:rFonts w:ascii="Times New Roman" w:cs="Times New Roman" w:eastAsia="Times New Roman" w:hAnsi="Times New Roman"/>
          <w:sz w:val="22"/>
          <w:szCs w:val="22"/>
          <w:color w:val="auto"/>
        </w:rPr>
        <w:t>determined by the Committee in its discretion), so that, to the extent practicable, neither the Company nor the Participant (nor any successor in interest) shall have at any time a right or power that would cause the compensation in question to become subject to the special tax consequences provided for by Section 409A. References in this Agreement to “termination of employment” and similar terms shall mean a “separation from service” within the meaning of Section 409A. Any payment subject to Section 409A that is to be made upon a “separation from service” on any date when the Participant is a “specified employee” as defined under Section 409A shall not be paid before the date that is six (6) months following the Participant’s “separation from service” or, if earlier, the Participant’s death.</w:t>
      </w:r>
    </w:p>
    <w:p>
      <w:pPr>
        <w:spacing w:after="0" w:line="180" w:lineRule="exact"/>
        <w:rPr>
          <w:sz w:val="20"/>
          <w:szCs w:val="20"/>
          <w:color w:val="auto"/>
        </w:rPr>
      </w:pPr>
    </w:p>
    <w:p>
      <w:pPr>
        <w:jc w:val="both"/>
        <w:ind w:firstLine="656"/>
        <w:spacing w:after="0" w:line="251" w:lineRule="auto"/>
        <w:tabs>
          <w:tab w:leader="none" w:pos="129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aspects of the Awards evidenced by this Agreement (including but not limited to vesting, valuation, payment and possible forfeiture) shall be governed by this Agreement and by the Equity Compensation Plan (each as interpreted by the Committee in its discretion), as applicable, copies of which plans have been provided to the Participant and are hereby acknowledged by the Participant, and the terms and conditions of which are incorporated into this Agreement by reference. Except as specifically provided herein, in the event of any inconsistency between this Agreement and the Equity Compensation Plan, the terms of the Equity Compensation Plan shall control.</w:t>
      </w:r>
    </w:p>
    <w:p>
      <w:pPr>
        <w:spacing w:after="0" w:line="18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scope of the other provisions of this Agreement, the Participant acknowledges and agrees</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w:t>
      </w:r>
    </w:p>
    <w:p>
      <w:pPr>
        <w:spacing w:after="0" w:line="207"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953"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cash payment or vesting of rights with respect to an Award evidenced by this Agreement would constitute an “excess parachute payment” for the purposes of Section 280G of the Internal Revenue Code then such payment or vesting shall be subject to reduction or other adjustment in accordance with the terms of the Equity Compensation Plan, the Agreement or the Participant’s employment agreement with the Company, or of any other agreement between the Participant and the Company which addresses the tax treatment of such a payment.</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951"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may amend or terminate any or all of the provisions of the Equity Compensation Plan and any or all of the provisions this Agreement in accordance with Article 17 of the Equity Compensation Plan. The Committee shall make adjustments to the RSUs in accordance with Section 7.2 of the Equity Compensation Plan. No course of conduct or failure or delay in enforcing the provisions of this Agreement shall affect the validity, binding effect or enforceability of this Agreement.</w:t>
      </w:r>
    </w:p>
    <w:p>
      <w:pPr>
        <w:spacing w:after="0" w:line="178"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953"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notices required or permitted under this Agreement or the Equity Compensation Plan will be delivered in accordance with the requirements of the applicable plan.</w:t>
      </w:r>
    </w:p>
    <w:p>
      <w:pPr>
        <w:spacing w:after="0" w:line="157"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951"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language used in this Agreement shall be deemed to be the language chosen by the parties hereto to express their mutual intent, and no rule of strict construction shall be applied against any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101" w:name="page102"/>
    <w:bookmarkEnd w:id="101"/>
    <w:p>
      <w:pPr>
        <w:jc w:val="both"/>
        <w:ind w:left="-460" w:firstLine="644"/>
        <w:spacing w:after="0" w:line="257" w:lineRule="auto"/>
        <w:tabs>
          <w:tab w:leader="none" w:pos="833"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supersedes and replaces any prior understandings, agreements or representations by or among the parties, written or oral, which may have related to the subject matter hereof in any way, except for the employment agreement between the Participant and the Company.</w:t>
      </w:r>
    </w:p>
    <w:p>
      <w:pPr>
        <w:spacing w:after="0" w:line="186" w:lineRule="exact"/>
        <w:rPr>
          <w:rFonts w:ascii="Times New Roman" w:cs="Times New Roman" w:eastAsia="Times New Roman" w:hAnsi="Times New Roman"/>
          <w:sz w:val="22"/>
          <w:szCs w:val="22"/>
          <w:color w:val="auto"/>
        </w:rPr>
      </w:pPr>
    </w:p>
    <w:p>
      <w:pPr>
        <w:jc w:val="both"/>
        <w:ind w:left="-460" w:firstLine="644"/>
        <w:spacing w:after="0" w:line="250" w:lineRule="auto"/>
        <w:tabs>
          <w:tab w:leader="none" w:pos="83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to the contrary, the RSUs covered by this Agreement shall be subject to the Company’s Recovery of Funds Policy, as it may be in effect from time to time, including, without limitation, the provisions of any such policy required by Section 10D of the Securities Exchange Act of 1934 and any applicable rules or regulations issued by the U.S. Securities and Exchange Commission or any national securities exchange or national securities association on which the Common Stock may be traded.</w:t>
      </w:r>
    </w:p>
    <w:p>
      <w:pPr>
        <w:spacing w:after="0" w:line="194" w:lineRule="exact"/>
        <w:rPr>
          <w:rFonts w:ascii="Times New Roman" w:cs="Times New Roman" w:eastAsia="Times New Roman" w:hAnsi="Times New Roman"/>
          <w:sz w:val="22"/>
          <w:szCs w:val="22"/>
          <w:color w:val="auto"/>
        </w:rPr>
      </w:pPr>
    </w:p>
    <w:p>
      <w:pPr>
        <w:jc w:val="both"/>
        <w:ind w:left="-460" w:firstLine="644"/>
        <w:spacing w:after="0" w:line="252" w:lineRule="auto"/>
        <w:tabs>
          <w:tab w:leader="none" w:pos="83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governed by and construed in accordance with the laws of the State of Illinois without regard to its conflict of laws rules. Any action or proceeding relating in any way to this Agreement must be brought and enforced in the federal or state courts in the State of Illinois, and the parties irrevocably submit to the jurisdiction of such courts in respect of any such action or proceeding.</w:t>
      </w:r>
    </w:p>
    <w:p>
      <w:pPr>
        <w:spacing w:after="0" w:line="179" w:lineRule="exact"/>
        <w:rPr>
          <w:rFonts w:ascii="Times New Roman" w:cs="Times New Roman" w:eastAsia="Times New Roman" w:hAnsi="Times New Roman"/>
          <w:sz w:val="22"/>
          <w:szCs w:val="22"/>
          <w:color w:val="auto"/>
        </w:rPr>
      </w:pPr>
    </w:p>
    <w:p>
      <w:pPr>
        <w:ind w:left="-460" w:firstLine="644"/>
        <w:spacing w:after="0" w:line="271" w:lineRule="auto"/>
        <w:tabs>
          <w:tab w:leader="none" w:pos="83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may execute this Agreement in one or more counterparts, all of which together shall constitute but one Agreement.</w:t>
      </w:r>
    </w:p>
    <w:p>
      <w:pPr>
        <w:spacing w:after="0" w:line="171" w:lineRule="exact"/>
        <w:rPr>
          <w:rFonts w:ascii="Times New Roman" w:cs="Times New Roman" w:eastAsia="Times New Roman" w:hAnsi="Times New Roman"/>
          <w:sz w:val="22"/>
          <w:szCs w:val="22"/>
          <w:color w:val="auto"/>
        </w:rPr>
      </w:pPr>
    </w:p>
    <w:p>
      <w:pPr>
        <w:jc w:val="both"/>
        <w:ind w:left="-460" w:firstLine="644"/>
        <w:spacing w:after="0" w:line="247" w:lineRule="auto"/>
        <w:tabs>
          <w:tab w:leader="none" w:pos="82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acknowledges and consents to the collection, use, processing and transfer of personal Data (defined below) as described in this subsection. The Company and its affiliates hold certain personal information about the Participant, including Participant’s name, home address, personal telephone number, email address, date of birth, social security number or other employee identification number, salary, nationality, job title, information regarding shares of Common Stock held or equivalent benefits awarded, cancelled, purchased, vested, unvested or outstanding in your favor, for the purpose of managing and administering the Equity Compensation Plan (“Data”). The Company and its affiliates may transfer Data amongst themselves as necessary for the purpose of implementation, administration, and management of Participant’s participation in the Equity Compensation Plan, and the Company and its affiliates may each further transfer Data to any third parties assisting the Company or any such related entity in the implementation, administration and management of the Equity Compensation Plan. Participant acknowledges that the transferors and transferees of such Data may be located anywhere in the world and hereby authorizes each of them to receive, possess, use, retain and transfer the Data, in electronic or other form, for the purposes of implementing, administering and managing your participation in the Equity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120"/>
          </w:cols>
          <w:pgMar w:left="1440" w:top="1422" w:right="339" w:bottom="1440" w:gutter="0" w:footer="0" w:header="0"/>
        </w:sectPr>
      </w:pPr>
    </w:p>
    <w:bookmarkStart w:id="102" w:name="page103"/>
    <w:bookmarkEnd w:id="102"/>
    <w:p>
      <w:pPr>
        <w:ind w:left="480"/>
        <w:spacing w:after="0"/>
        <w:rPr>
          <w:sz w:val="20"/>
          <w:szCs w:val="20"/>
          <w:color w:val="auto"/>
        </w:rPr>
      </w:pPr>
      <w:r>
        <w:rPr>
          <w:rFonts w:ascii="Times New Roman" w:cs="Times New Roman" w:eastAsia="Times New Roman" w:hAnsi="Times New Roman"/>
          <w:sz w:val="21"/>
          <w:szCs w:val="21"/>
          <w:color w:val="auto"/>
        </w:rPr>
        <w:t>IN WITNESS WHEREOF, the Participant and the Company have executed this Agreement as of the date set forth above.</w:t>
      </w:r>
    </w:p>
    <w:p>
      <w:pPr>
        <w:spacing w:after="0" w:line="17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DISTRIBUTION SOLUTIONS GROUP, INC.</w:t>
      </w:r>
    </w:p>
    <w:p>
      <w:pPr>
        <w:spacing w:after="0" w:line="200" w:lineRule="exact"/>
        <w:rPr>
          <w:sz w:val="20"/>
          <w:szCs w:val="20"/>
          <w:color w:val="auto"/>
        </w:rPr>
      </w:pPr>
    </w:p>
    <w:p>
      <w:pPr>
        <w:spacing w:after="0" w:line="29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4457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8">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3361055</wp:posOffset>
            </wp:positionH>
            <wp:positionV relativeFrom="paragraph">
              <wp:posOffset>-13970</wp:posOffset>
            </wp:positionV>
            <wp:extent cx="58293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9">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9" w:lineRule="exact"/>
        <w:rPr>
          <w:sz w:val="20"/>
          <w:szCs w:val="20"/>
          <w:color w:val="auto"/>
        </w:rPr>
      </w:pPr>
    </w:p>
    <w:p>
      <w:pPr>
        <w:spacing w:after="0"/>
        <w:tabs>
          <w:tab w:leader="none" w:pos="5400" w:val="left"/>
        </w:tabs>
        <w:rPr>
          <w:sz w:val="20"/>
          <w:szCs w:val="20"/>
          <w:color w:val="auto"/>
        </w:rPr>
      </w:pPr>
      <w:r>
        <w:rPr>
          <w:rFonts w:ascii="Times New Roman" w:cs="Times New Roman" w:eastAsia="Times New Roman" w:hAnsi="Times New Roman"/>
          <w:sz w:val="22"/>
          <w:szCs w:val="22"/>
          <w:color w:val="auto"/>
        </w:rPr>
        <w:t>[Participant]</w:t>
      </w:r>
      <w:r>
        <w:rPr>
          <w:sz w:val="20"/>
          <w:szCs w:val="20"/>
          <w:color w:val="auto"/>
        </w:rPr>
        <w:tab/>
      </w:r>
      <w:r>
        <w:rPr>
          <w:rFonts w:ascii="Times New Roman" w:cs="Times New Roman" w:eastAsia="Times New Roman" w:hAnsi="Times New Roman"/>
          <w:sz w:val="22"/>
          <w:szCs w:val="22"/>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960"/>
          </w:cols>
          <w:pgMar w:left="500" w:top="1422" w:right="4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22"/>
          <w:szCs w:val="22"/>
          <w:b w:val="1"/>
          <w:bCs w:val="1"/>
          <w:color w:val="auto"/>
        </w:rPr>
        <w:t>EXHIBIT 10.12</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Form of Stock Option Award Agreement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DISTRIBUTION SOLUTIONS GROUP, INC. AWARD AGREEMENT</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This award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this ________________, 20__, by and between Distribution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Solutions Group,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_______________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w:t>
      </w:r>
    </w:p>
    <w:p>
      <w:pPr>
        <w:spacing w:after="0" w:line="236"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22"/>
          <w:szCs w:val="22"/>
          <w:color w:val="auto"/>
        </w:rPr>
        <w:t>WHEREAS, the Compensation Committee of the Board of Directors of the Company (the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has selected the Participant to receive awards under the Distribution Solutions Group, Inc. Equity Compensation Plan, as amended and restated effective October 17, 2022 (as amended on November 10, 2022, and as the same may be further amended from time to time, the “</w:t>
      </w:r>
      <w:r>
        <w:rPr>
          <w:rFonts w:ascii="Times New Roman" w:cs="Times New Roman" w:eastAsia="Times New Roman" w:hAnsi="Times New Roman"/>
          <w:sz w:val="22"/>
          <w:szCs w:val="22"/>
          <w:u w:val="single" w:color="auto"/>
          <w:color w:val="auto"/>
        </w:rPr>
        <w:t>Equity Compensation Plan</w:t>
      </w:r>
      <w:r>
        <w:rPr>
          <w:rFonts w:ascii="Times New Roman" w:cs="Times New Roman" w:eastAsia="Times New Roman" w:hAnsi="Times New Roman"/>
          <w:sz w:val="22"/>
          <w:szCs w:val="22"/>
          <w:color w:val="auto"/>
        </w:rPr>
        <w:t>”); and</w:t>
      </w:r>
    </w:p>
    <w:p>
      <w:pPr>
        <w:spacing w:after="0" w:line="206" w:lineRule="exact"/>
        <w:rPr>
          <w:sz w:val="20"/>
          <w:szCs w:val="20"/>
          <w:color w:val="auto"/>
        </w:rPr>
      </w:pPr>
    </w:p>
    <w:p>
      <w:pPr>
        <w:jc w:val="both"/>
        <w:ind w:firstLine="282"/>
        <w:spacing w:after="0" w:line="284" w:lineRule="auto"/>
        <w:rPr>
          <w:sz w:val="20"/>
          <w:szCs w:val="20"/>
          <w:color w:val="auto"/>
        </w:rPr>
      </w:pPr>
      <w:r>
        <w:rPr>
          <w:rFonts w:ascii="Times New Roman" w:cs="Times New Roman" w:eastAsia="Times New Roman" w:hAnsi="Times New Roman"/>
          <w:sz w:val="22"/>
          <w:szCs w:val="22"/>
          <w:color w:val="auto"/>
        </w:rPr>
        <w:t>WHEREAS, the Participant wishes to accept those awards, subject to the terms and conditions of the Equity Compensation Plan and this Agreement;</w:t>
      </w:r>
    </w:p>
    <w:p>
      <w:pPr>
        <w:spacing w:after="0" w:line="1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NOW, THEREFORE, the Company and the Participant hereby agree as follows:</w:t>
      </w:r>
    </w:p>
    <w:p>
      <w:pPr>
        <w:spacing w:after="0" w:line="247" w:lineRule="exact"/>
        <w:rPr>
          <w:sz w:val="20"/>
          <w:szCs w:val="20"/>
          <w:color w:val="auto"/>
        </w:rPr>
      </w:pPr>
    </w:p>
    <w:p>
      <w:pPr>
        <w:ind w:firstLine="656"/>
        <w:spacing w:after="0" w:line="274" w:lineRule="auto"/>
        <w:tabs>
          <w:tab w:leader="none" w:pos="129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awards evidenced by this Agreement (the “Award”) are effective as of _____________, 2025 (the “</w:t>
      </w: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and consist of ____________________ Stock Options (“</w:t>
      </w:r>
      <w:r>
        <w:rPr>
          <w:rFonts w:ascii="Times New Roman" w:cs="Times New Roman" w:eastAsia="Times New Roman" w:hAnsi="Times New Roman"/>
          <w:sz w:val="22"/>
          <w:szCs w:val="22"/>
          <w:u w:val="single" w:color="auto"/>
          <w:color w:val="auto"/>
        </w:rPr>
        <w:t>Options</w:t>
      </w:r>
      <w:r>
        <w:rPr>
          <w:rFonts w:ascii="Times New Roman" w:cs="Times New Roman" w:eastAsia="Times New Roman" w:hAnsi="Times New Roman"/>
          <w:sz w:val="22"/>
          <w:szCs w:val="22"/>
          <w:color w:val="auto"/>
        </w:rPr>
        <w:t>”) under the Equity Compensation Plan, with</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w:t>
      </w:r>
    </w:p>
    <w:p>
      <w:pPr>
        <w:spacing w:after="0" w:line="9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_____________of the Options having an exercise price equal to $____ (“</w:t>
      </w:r>
      <w:r>
        <w:rPr>
          <w:rFonts w:ascii="Times New Roman" w:cs="Times New Roman" w:eastAsia="Times New Roman" w:hAnsi="Times New Roman"/>
          <w:sz w:val="22"/>
          <w:szCs w:val="22"/>
          <w:u w:val="single" w:color="auto"/>
          <w:color w:val="auto"/>
        </w:rPr>
        <w:t>Option Tranche 1</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_____________ of the Options having an exercise price equal to $____ (“</w:t>
      </w:r>
      <w:r>
        <w:rPr>
          <w:rFonts w:ascii="Times New Roman" w:cs="Times New Roman" w:eastAsia="Times New Roman" w:hAnsi="Times New Roman"/>
          <w:sz w:val="22"/>
          <w:szCs w:val="22"/>
          <w:u w:val="single" w:color="auto"/>
          <w:color w:val="auto"/>
        </w:rPr>
        <w:t>Option Tranche 2</w:t>
      </w:r>
      <w:r>
        <w:rPr>
          <w:rFonts w:ascii="Times New Roman" w:cs="Times New Roman" w:eastAsia="Times New Roman" w:hAnsi="Times New Roman"/>
          <w:sz w:val="22"/>
          <w:szCs w:val="22"/>
          <w:color w:val="auto"/>
        </w:rPr>
        <w:t>”); and</w:t>
      </w:r>
    </w:p>
    <w:p>
      <w:pPr>
        <w:spacing w:after="0" w:line="260"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_____________ of the Options having an exercise price equal to $___ (“</w:t>
      </w:r>
      <w:r>
        <w:rPr>
          <w:rFonts w:ascii="Times New Roman" w:cs="Times New Roman" w:eastAsia="Times New Roman" w:hAnsi="Times New Roman"/>
          <w:sz w:val="22"/>
          <w:szCs w:val="22"/>
          <w:u w:val="single" w:color="auto"/>
          <w:color w:val="auto"/>
        </w:rPr>
        <w:t>Option Tranche 3</w:t>
      </w:r>
      <w:r>
        <w:rPr>
          <w:rFonts w:ascii="Times New Roman" w:cs="Times New Roman" w:eastAsia="Times New Roman" w:hAnsi="Times New Roman"/>
          <w:sz w:val="22"/>
          <w:szCs w:val="22"/>
          <w:color w:val="auto"/>
        </w:rPr>
        <w:t>”); and</w:t>
      </w:r>
    </w:p>
    <w:p>
      <w:pPr>
        <w:spacing w:after="0" w:line="246"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______________ of the Options having an exercise price equal to $____ (“</w:t>
      </w:r>
      <w:r>
        <w:rPr>
          <w:rFonts w:ascii="Times New Roman" w:cs="Times New Roman" w:eastAsia="Times New Roman" w:hAnsi="Times New Roman"/>
          <w:sz w:val="22"/>
          <w:szCs w:val="22"/>
          <w:u w:val="single" w:color="auto"/>
          <w:color w:val="auto"/>
        </w:rPr>
        <w:t>Option Tranche 4</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Sections 2</w:t>
      </w:r>
      <w:r>
        <w:rPr>
          <w:rFonts w:ascii="Times New Roman" w:cs="Times New Roman" w:eastAsia="Times New Roman" w:hAnsi="Times New Roman"/>
          <w:sz w:val="21"/>
          <w:szCs w:val="21"/>
          <w:color w:val="auto"/>
        </w:rPr>
        <w:t xml:space="preserve"> – </w:t>
      </w:r>
      <w:r>
        <w:rPr>
          <w:rFonts w:ascii="Times New Roman" w:cs="Times New Roman" w:eastAsia="Times New Roman" w:hAnsi="Times New Roman"/>
          <w:sz w:val="21"/>
          <w:szCs w:val="21"/>
          <w:u w:val="single" w:color="auto"/>
          <w:color w:val="auto"/>
        </w:rPr>
        <w:t>5</w:t>
      </w:r>
      <w:r>
        <w:rPr>
          <w:rFonts w:ascii="Times New Roman" w:cs="Times New Roman" w:eastAsia="Times New Roman" w:hAnsi="Times New Roman"/>
          <w:sz w:val="21"/>
          <w:szCs w:val="21"/>
          <w:color w:val="auto"/>
        </w:rPr>
        <w:t xml:space="preserve"> of this Agreement, one-fourth (1/4) of each of Option Tranche 1, Option Tranche 2, Option Tranche 3 and Option Tranche 4 shall vest and become exercisable on [insert date one year from Grant Date], (“Initial Vesting Date”), and thereafter one-fourth (1/4) of each such Option Tranche shall vest and become exercisable on each subsequent anniversary of the Initial Vesting Date (i.e., __________, __________ and _________) (each, a “Vesting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Participant</w:t>
      </w:r>
    </w:p>
    <w:p>
      <w:pPr>
        <w:spacing w:after="0" w:line="1"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2"/>
          <w:szCs w:val="22"/>
          <w:color w:val="auto"/>
        </w:rPr>
        <w:t xml:space="preserve">remains continuously employed by the Company through such respective dates;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that to the extent a Tranche of Options vests and as a result of such vesting, a fractional share would otherwise be required to be issued, any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16459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0">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84" w:lineRule="exact"/>
        <w:rPr>
          <w:sz w:val="20"/>
          <w:szCs w:val="20"/>
          <w:color w:val="auto"/>
        </w:rPr>
      </w:pPr>
    </w:p>
    <w:p>
      <w:pPr>
        <w:ind w:left="140" w:hanging="132"/>
        <w:spacing w:after="0"/>
        <w:tabs>
          <w:tab w:leader="none" w:pos="140" w:val="left"/>
        </w:tabs>
        <w:numPr>
          <w:ilvl w:val="0"/>
          <w:numId w:val="4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0"/>
          <w:szCs w:val="20"/>
          <w:color w:val="auto"/>
        </w:rPr>
        <w:t>Insert date of Board approval of grant. Note that vesting terms may vary for each Participant or may default to plan terms.</w:t>
      </w:r>
    </w:p>
    <w:p>
      <w:pPr>
        <w:spacing w:after="0" w:line="6" w:lineRule="exact"/>
        <w:rPr>
          <w:rFonts w:ascii="Times New Roman" w:cs="Times New Roman" w:eastAsia="Times New Roman" w:hAnsi="Times New Roman"/>
          <w:sz w:val="28"/>
          <w:szCs w:val="28"/>
          <w:color w:val="auto"/>
          <w:vertAlign w:val="superscript"/>
        </w:rPr>
      </w:pPr>
    </w:p>
    <w:p>
      <w:pPr>
        <w:spacing w:after="0"/>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Insert applicable exercise price for each tranche and delete any inapplicable tranches.</w:t>
      </w:r>
    </w:p>
    <w:p>
      <w:pPr>
        <w:sectPr>
          <w:pgSz w:w="11900" w:h="16838" w:orient="portrait"/>
          <w:cols w:equalWidth="0" w:num="1">
            <w:col w:w="11240"/>
          </w:cols>
          <w:pgMar w:left="320" w:top="122" w:right="339" w:bottom="1440" w:gutter="0" w:footer="0" w:header="0"/>
        </w:sectPr>
      </w:pPr>
    </w:p>
    <w:bookmarkStart w:id="104" w:name="page105"/>
    <w:bookmarkEnd w:id="104"/>
    <w:p>
      <w:pPr>
        <w:jc w:val="both"/>
        <w:spacing w:after="0" w:line="239" w:lineRule="auto"/>
        <w:rPr>
          <w:sz w:val="20"/>
          <w:szCs w:val="20"/>
          <w:color w:val="auto"/>
        </w:rPr>
      </w:pPr>
      <w:r>
        <w:rPr>
          <w:rFonts w:ascii="Times New Roman" w:cs="Times New Roman" w:eastAsia="Times New Roman" w:hAnsi="Times New Roman"/>
          <w:sz w:val="22"/>
          <w:szCs w:val="22"/>
          <w:color w:val="auto"/>
        </w:rPr>
        <w:t>fractional share shall not be issued but shall be carried forward and added to the remaining outstanding Tranche of Options with the same exercise price until the next Vesting Date when a whole share can be issued. Except as otherwise provided herein for earlier expiration, the Options will expire on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anniversary of the Grant Date (and in no event with the Options be exercisable on or after such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anniversary).</w:t>
      </w:r>
    </w:p>
    <w:p>
      <w:pPr>
        <w:spacing w:after="0" w:line="137" w:lineRule="exact"/>
        <w:rPr>
          <w:sz w:val="20"/>
          <w:szCs w:val="20"/>
          <w:color w:val="auto"/>
        </w:rPr>
      </w:pPr>
    </w:p>
    <w:p>
      <w:pPr>
        <w:ind w:firstLine="656"/>
        <w:spacing w:after="0" w:line="271" w:lineRule="auto"/>
        <w:tabs>
          <w:tab w:leader="none" w:pos="12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termination of the Participant’s employment with the Company and all of its affiliates by the Company upon the Participant’s death or Disability:</w:t>
      </w:r>
    </w:p>
    <w:p>
      <w:pPr>
        <w:spacing w:after="0" w:line="184" w:lineRule="exact"/>
        <w:rPr>
          <w:rFonts w:ascii="Times New Roman" w:cs="Times New Roman" w:eastAsia="Times New Roman" w:hAnsi="Times New Roman"/>
          <w:sz w:val="22"/>
          <w:szCs w:val="22"/>
          <w:color w:val="auto"/>
        </w:rPr>
      </w:pPr>
    </w:p>
    <w:p>
      <w:pPr>
        <w:jc w:val="both"/>
        <w:ind w:left="1300" w:hanging="320"/>
        <w:spacing w:after="0" w:line="263" w:lineRule="auto"/>
        <w:tabs>
          <w:tab w:leader="none" w:pos="1297"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unvested portion of the Award shall be cancelled as of the effective date of the termination of Service and neither the Company nor any Subsidiary shall have any further obligations to the Participant under this Agreement with respect to such cancelled Options; and</w:t>
      </w:r>
    </w:p>
    <w:p>
      <w:pPr>
        <w:spacing w:after="0" w:line="194" w:lineRule="exact"/>
        <w:rPr>
          <w:rFonts w:ascii="Times New Roman" w:cs="Times New Roman" w:eastAsia="Times New Roman" w:hAnsi="Times New Roman"/>
          <w:sz w:val="22"/>
          <w:szCs w:val="22"/>
          <w:color w:val="auto"/>
        </w:rPr>
      </w:pPr>
    </w:p>
    <w:p>
      <w:pPr>
        <w:jc w:val="both"/>
        <w:ind w:left="1300" w:hanging="320"/>
        <w:spacing w:after="0" w:line="251" w:lineRule="auto"/>
        <w:tabs>
          <w:tab w:leader="none" w:pos="1295"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vested portion of the Options evidenced by this Agreement shall remain outstanding and exercisable until the earlier of (i) 12 months from date of Participant’s death or Disability or (ii) the date the Option would otherwise expire, and may be exercised in whole or in part by the Participant (or a permitted successor in interest) by giving written notice to the Company of such exercise in accordance with the terms of the Equity Compensation Plan, as applicable. With respect to each exercise of Options under this Agreement, the Participant shall specify the applicable number of Options that are the subject of such exercise.</w:t>
      </w:r>
    </w:p>
    <w:p>
      <w:pPr>
        <w:spacing w:after="0" w:line="208"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termination of the Participant’s employment with the Company and all of its affiliates by the Company for any other reason, other than for Cause or upon the Participant’s death or Disability as provided above:</w:t>
      </w:r>
    </w:p>
    <w:p>
      <w:pPr>
        <w:spacing w:after="0" w:line="184" w:lineRule="exact"/>
        <w:rPr>
          <w:rFonts w:ascii="Times New Roman" w:cs="Times New Roman" w:eastAsia="Times New Roman" w:hAnsi="Times New Roman"/>
          <w:sz w:val="22"/>
          <w:szCs w:val="22"/>
          <w:color w:val="auto"/>
        </w:rPr>
      </w:pPr>
    </w:p>
    <w:p>
      <w:pPr>
        <w:jc w:val="both"/>
        <w:ind w:left="1300" w:hanging="320"/>
        <w:spacing w:after="0" w:line="263" w:lineRule="auto"/>
        <w:tabs>
          <w:tab w:leader="none" w:pos="1297"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unvested portion of the Award shall be cancelled as of the effective date of the termination of Service and neither the Company nor any Subsidiary shall have any further obligations to the Participant under this Agreement with respect to such cancelled Options; and</w:t>
      </w:r>
    </w:p>
    <w:p>
      <w:pPr>
        <w:spacing w:after="0" w:line="194" w:lineRule="exact"/>
        <w:rPr>
          <w:rFonts w:ascii="Times New Roman" w:cs="Times New Roman" w:eastAsia="Times New Roman" w:hAnsi="Times New Roman"/>
          <w:sz w:val="22"/>
          <w:szCs w:val="22"/>
          <w:color w:val="auto"/>
        </w:rPr>
      </w:pPr>
    </w:p>
    <w:p>
      <w:pPr>
        <w:jc w:val="both"/>
        <w:ind w:left="1300" w:hanging="320"/>
        <w:spacing w:after="0" w:line="251" w:lineRule="auto"/>
        <w:tabs>
          <w:tab w:leader="none" w:pos="1295"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vested portion of the Options evidenced by this Agreement shall remain outstanding and exercisable until the earlier of (i) 90 days from the date of the termination of Participant’s service or (ii) the date the Option would otherwise expire, and may be exercised in whole or in part by the Participant (or a permitted successor in interest) by giving written notice to the Company of such exercise in accordance with the terms of the Equity Compensation Plan, as applicable. With respect to each exercise of Options under this Agreement, the Participant shall specify the applicable number of Options that are the subject of such exercise.</w:t>
      </w:r>
    </w:p>
    <w:p>
      <w:pPr>
        <w:spacing w:after="0" w:line="208"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termination of the Participant’s employment with the Company and all of its affiliates for Cause (as defined in Section 1.5 of the Equity Compensation Plan), then all vested and unvested portions of the Award shall be immediately cancelled and neither the Company nor any Subsidiary shall have any further obligations to the Participant under this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105" w:name="page106"/>
    <w:bookmarkEnd w:id="105"/>
    <w:p>
      <w:pPr>
        <w:spacing w:after="0" w:line="271" w:lineRule="auto"/>
        <w:rPr>
          <w:sz w:val="20"/>
          <w:szCs w:val="20"/>
          <w:color w:val="auto"/>
        </w:rPr>
      </w:pPr>
      <w:r>
        <w:rPr>
          <w:rFonts w:ascii="Times New Roman" w:cs="Times New Roman" w:eastAsia="Times New Roman" w:hAnsi="Times New Roman"/>
          <w:sz w:val="22"/>
          <w:szCs w:val="22"/>
          <w:color w:val="auto"/>
        </w:rPr>
        <w:t>Agreement with respect to such cancelled Options and to the extent applicable, the repayment provisions in Section 14.2 of the Equity Compensation Plan shall apply.</w:t>
      </w:r>
    </w:p>
    <w:p>
      <w:pPr>
        <w:spacing w:after="0" w:line="185" w:lineRule="exact"/>
        <w:rPr>
          <w:sz w:val="20"/>
          <w:szCs w:val="20"/>
          <w:color w:val="auto"/>
        </w:rPr>
      </w:pPr>
    </w:p>
    <w:p>
      <w:pPr>
        <w:jc w:val="both"/>
        <w:ind w:firstLine="656"/>
        <w:spacing w:after="0" w:line="241" w:lineRule="auto"/>
        <w:tabs>
          <w:tab w:leader="none" w:pos="129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of a Change in Control, the terms of Section 13.0 of the Equity Compensation Plan shall apply. </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22"/>
          <w:szCs w:val="22"/>
          <w:color w:val="auto"/>
        </w:rPr>
        <w:t xml:space="preserve"> If at the time of a Change in Control the exercise price of a vested Option equals or exceeds the price paid for a share of Common Stock in connection with the Change in Control, and the Participant has not exercised such vested Option on or prior to the date of the Change in Control, such Option shall be cancelled without the payment of consideration therefor. For purposes of this provision, Change in Control shall have the meaning set forth in Section 1.6 of the Equity Compensation Plan, provided that in no event will a Change in Control occur if, following the consummation of a transaction, Luther King Capital Management Corporation or any of its affiliates remain the majority holder of the equity interests of the Company (or the successor entity to the Company in such transaction).</w:t>
      </w:r>
    </w:p>
    <w:p>
      <w:pPr>
        <w:spacing w:after="0" w:line="193"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exercise, as applicable, of Options evidenced by this Agreement shall be subject to compliance with all applicable tax withholding requirements, in accordance with Article 15 of the Equity Compensation Plan, as applicable.</w:t>
      </w:r>
    </w:p>
    <w:p>
      <w:pPr>
        <w:spacing w:after="0" w:line="157"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Options under this Agreement are intended to be exempt from or comply with Section 409A of the Internal Revenue Code of 1986, as amended, and the regulations issued thereunder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and the terms and conditions of this Agreement shall be deemed automatically amended to the extent necessary to produce such compliance (in the manner determined by the Committee in its discretion), so that, to the extent practicable, neither the Company nor the Participant (nor any successor in interest) shall have at any time a right or power that would cause the compensation in question to become subject to the special tax consequences provided for by Section 409A. References in this Agreement to “termination of employment” and similar terms shall mean a “separation from service” within the meaning of Section 409A. Any payment subject to Section 409A that is to be made upon a “separation from service” on any date when the Participant is a “specified employee” as defined under Section 409A shall not be paid before the date that is six (6) months following the Participant’s “separation from service” or, if earlier, the Participant’s death.</w:t>
      </w:r>
    </w:p>
    <w:p>
      <w:pPr>
        <w:spacing w:after="0" w:line="183"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aspects of the Awards evidenced by this Agreement (including but not limited to vesting, valuation, payment and possible forfeiture) shall be governed by this Agreement and by the Equity Compensation Plan (each as interpreted by the Committee in its discretion), as applicable, copies of which plans have been provided to the Participant and are hereby acknowledged by the Participant, and the terms and conditions of which are incorporated into this Agreement by reference. Except as specifically stated herein, in the event of any inconsistency between this Agreement and the Equity Compensation Plan, the terms of the Equity Compensation Plan shall control.</w:t>
      </w:r>
    </w:p>
    <w:p>
      <w:pPr>
        <w:spacing w:after="0" w:line="18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scope of the other provisions of this Agreement, the Participant acknowledges and agrees</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6459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84" w:lineRule="exact"/>
        <w:rPr>
          <w:sz w:val="20"/>
          <w:szCs w:val="20"/>
          <w:color w:val="auto"/>
        </w:rPr>
      </w:pPr>
    </w:p>
    <w:p>
      <w:pPr>
        <w:ind w:left="5580" w:right="1580" w:hanging="5572"/>
        <w:spacing w:after="0" w:line="961" w:lineRule="auto"/>
        <w:tabs>
          <w:tab w:leader="none" w:pos="142" w:val="left"/>
        </w:tabs>
        <w:numPr>
          <w:ilvl w:val="0"/>
          <w:numId w:val="4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Plan terms apply unless accelerated vesting of equity is required under an executive’s employment agreement. 3</w:t>
      </w:r>
    </w:p>
    <w:p>
      <w:pPr>
        <w:sectPr>
          <w:pgSz w:w="11900" w:h="16838" w:orient="portrait"/>
          <w:cols w:equalWidth="0" w:num="1">
            <w:col w:w="11240"/>
          </w:cols>
          <w:pgMar w:left="320" w:top="1422" w:right="339" w:bottom="1440" w:gutter="0" w:footer="0" w:header="0"/>
        </w:sectPr>
      </w:pPr>
    </w:p>
    <w:bookmarkStart w:id="106" w:name="page107"/>
    <w:bookmarkEnd w:id="106"/>
    <w:p>
      <w:pPr>
        <w:jc w:val="both"/>
        <w:ind w:left="-460" w:firstLine="644"/>
        <w:spacing w:after="0" w:line="253" w:lineRule="auto"/>
        <w:tabs>
          <w:tab w:leader="none" w:pos="833"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cash payment or vesting of rights with respect to an Award evidenced by this Agreement would constitute an “excess parachute payment” for the purposes of Section 280G of the Internal Revenue Code then such payment or vesting shall be subject to reduction or other adjustment in accordance with the terms of the Equity Compensation Plan, the Agreement or the Participant’s employment agreement with the Company, or of any other agreement between the Participant and the Company which addresses the tax treatment of such a payment.</w:t>
      </w:r>
    </w:p>
    <w:p>
      <w:pPr>
        <w:spacing w:after="0" w:line="178" w:lineRule="exact"/>
        <w:rPr>
          <w:rFonts w:ascii="Times New Roman" w:cs="Times New Roman" w:eastAsia="Times New Roman" w:hAnsi="Times New Roman"/>
          <w:sz w:val="22"/>
          <w:szCs w:val="22"/>
          <w:color w:val="auto"/>
        </w:rPr>
      </w:pPr>
    </w:p>
    <w:p>
      <w:pPr>
        <w:jc w:val="both"/>
        <w:ind w:left="-460" w:firstLine="644"/>
        <w:spacing w:after="0" w:line="253" w:lineRule="auto"/>
        <w:tabs>
          <w:tab w:leader="none" w:pos="831"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may amend or terminate any or all of the provisions of the Equity Compensation Plan and any or all of the provisions this Agreement in accordance with Article 17 of the Equity Compensation Plan. The Committee shall make adjustments to the Options in accordance with Section 7.2 of the Equity Compensation Plan. No course of conduct or failure or delay in enforcing the provisions of this Agreement shall affect the validity, binding effect or enforceability of this Agreement.</w:t>
      </w:r>
    </w:p>
    <w:p>
      <w:pPr>
        <w:spacing w:after="0" w:line="178" w:lineRule="exact"/>
        <w:rPr>
          <w:rFonts w:ascii="Times New Roman" w:cs="Times New Roman" w:eastAsia="Times New Roman" w:hAnsi="Times New Roman"/>
          <w:sz w:val="22"/>
          <w:szCs w:val="22"/>
          <w:color w:val="auto"/>
        </w:rPr>
      </w:pPr>
    </w:p>
    <w:p>
      <w:pPr>
        <w:ind w:left="-460" w:firstLine="644"/>
        <w:spacing w:after="0" w:line="271" w:lineRule="auto"/>
        <w:tabs>
          <w:tab w:leader="none" w:pos="833"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notices required or permitted under this Agreement, or the Equity Compensation Plan will be delivered in accordance with the requirements of the applicable plan.</w:t>
      </w:r>
    </w:p>
    <w:p>
      <w:pPr>
        <w:spacing w:after="0" w:line="157" w:lineRule="exact"/>
        <w:rPr>
          <w:rFonts w:ascii="Times New Roman" w:cs="Times New Roman" w:eastAsia="Times New Roman" w:hAnsi="Times New Roman"/>
          <w:sz w:val="22"/>
          <w:szCs w:val="22"/>
          <w:color w:val="auto"/>
        </w:rPr>
      </w:pPr>
    </w:p>
    <w:p>
      <w:pPr>
        <w:ind w:left="-460" w:right="20" w:firstLine="644"/>
        <w:spacing w:after="0" w:line="271" w:lineRule="auto"/>
        <w:tabs>
          <w:tab w:leader="none" w:pos="831"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language used in this Agreement shall be deemed to be the language chosen by the parties hereto to express their mutual intent, and no rule of strict construction shall be applied against any party.</w:t>
      </w:r>
    </w:p>
    <w:p>
      <w:pPr>
        <w:spacing w:after="0" w:line="171" w:lineRule="exact"/>
        <w:rPr>
          <w:rFonts w:ascii="Times New Roman" w:cs="Times New Roman" w:eastAsia="Times New Roman" w:hAnsi="Times New Roman"/>
          <w:sz w:val="22"/>
          <w:szCs w:val="22"/>
          <w:color w:val="auto"/>
        </w:rPr>
      </w:pPr>
    </w:p>
    <w:p>
      <w:pPr>
        <w:jc w:val="both"/>
        <w:ind w:left="-460" w:firstLine="644"/>
        <w:spacing w:after="0" w:line="252" w:lineRule="auto"/>
        <w:tabs>
          <w:tab w:leader="none" w:pos="833"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supersedes and replaces any prior understandings, agreements or representations by or among the parties, written or oral, which may have related to the subject matter hereof in any way, including any offer letter or other documents showing potential values of the Options in certain assumed circumstances given to the Participant.</w:t>
      </w:r>
    </w:p>
    <w:p>
      <w:pPr>
        <w:spacing w:after="0" w:line="179" w:lineRule="exact"/>
        <w:rPr>
          <w:rFonts w:ascii="Times New Roman" w:cs="Times New Roman" w:eastAsia="Times New Roman" w:hAnsi="Times New Roman"/>
          <w:sz w:val="22"/>
          <w:szCs w:val="22"/>
          <w:color w:val="auto"/>
        </w:rPr>
      </w:pPr>
    </w:p>
    <w:p>
      <w:pPr>
        <w:jc w:val="both"/>
        <w:ind w:left="-460" w:firstLine="644"/>
        <w:spacing w:after="0" w:line="253" w:lineRule="auto"/>
        <w:tabs>
          <w:tab w:leader="none" w:pos="83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to the contrary, the Options covered by this Agreement shall be subject to the Company’s Recovery of Funds Policy, as it may be in effect from time to time, including, without limitation, the provisions of any such policy required by Section 10D of the Securities Exchange Act of 1934 and any applicable rules or regulations issued by the U.S. Securities and Exchange Commission or any national securities exchange or national securities association on which the Common Stock may be traded.</w:t>
      </w:r>
    </w:p>
    <w:p>
      <w:pPr>
        <w:spacing w:after="0" w:line="178" w:lineRule="exact"/>
        <w:rPr>
          <w:rFonts w:ascii="Times New Roman" w:cs="Times New Roman" w:eastAsia="Times New Roman" w:hAnsi="Times New Roman"/>
          <w:sz w:val="22"/>
          <w:szCs w:val="22"/>
          <w:color w:val="auto"/>
        </w:rPr>
      </w:pPr>
    </w:p>
    <w:p>
      <w:pPr>
        <w:jc w:val="both"/>
        <w:ind w:left="-460" w:firstLine="644"/>
        <w:spacing w:after="0" w:line="256" w:lineRule="auto"/>
        <w:tabs>
          <w:tab w:leader="none" w:pos="831"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governed by and construed in accordance with the laws of the State of Illinois without regard to its conflict of laws rules. Any action or proceeding relating in any way to this Agreement must be brought and enforced in the federal or state courts in the State of Illinois and the parties irrevocably submit to the jurisdiction of such courts in respect of any such action or proceeding.</w:t>
      </w:r>
    </w:p>
    <w:p>
      <w:pPr>
        <w:spacing w:after="0" w:line="176" w:lineRule="exact"/>
        <w:rPr>
          <w:rFonts w:ascii="Times New Roman" w:cs="Times New Roman" w:eastAsia="Times New Roman" w:hAnsi="Times New Roman"/>
          <w:sz w:val="22"/>
          <w:szCs w:val="22"/>
          <w:color w:val="auto"/>
        </w:rPr>
      </w:pPr>
    </w:p>
    <w:p>
      <w:pPr>
        <w:ind w:left="-460" w:firstLine="644"/>
        <w:spacing w:after="0" w:line="271" w:lineRule="auto"/>
        <w:tabs>
          <w:tab w:leader="none" w:pos="831"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acknowledges and agrees that the grant of the Options subject to this Agreement are granted subject to the Participant’s agreement contained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120"/>
          </w:cols>
          <w:pgMar w:left="1440" w:top="1422" w:right="339" w:bottom="1440" w:gutter="0" w:footer="0" w:header="0"/>
        </w:sectPr>
      </w:pPr>
    </w:p>
    <w:bookmarkStart w:id="107" w:name="page108"/>
    <w:bookmarkEnd w:id="107"/>
    <w:p>
      <w:pPr>
        <w:ind w:left="480"/>
        <w:spacing w:after="0" w:line="271" w:lineRule="auto"/>
        <w:rPr>
          <w:sz w:val="20"/>
          <w:szCs w:val="20"/>
          <w:color w:val="auto"/>
        </w:rPr>
      </w:pPr>
      <w:r>
        <w:rPr>
          <w:rFonts w:ascii="Times New Roman" w:cs="Times New Roman" w:eastAsia="Times New Roman" w:hAnsi="Times New Roman"/>
          <w:sz w:val="22"/>
          <w:szCs w:val="22"/>
          <w:color w:val="auto"/>
        </w:rPr>
        <w:t>loyalty and confidentiality agreement to refrain from certain activities with respect to the Company under the circumstances and subject to the limitations set forth therein.</w:t>
      </w:r>
    </w:p>
    <w:p>
      <w:pPr>
        <w:spacing w:after="0" w:line="158" w:lineRule="exact"/>
        <w:rPr>
          <w:sz w:val="20"/>
          <w:szCs w:val="20"/>
          <w:color w:val="auto"/>
        </w:rPr>
      </w:pPr>
    </w:p>
    <w:p>
      <w:pPr>
        <w:ind w:left="480" w:firstLine="644"/>
        <w:spacing w:after="0" w:line="284" w:lineRule="auto"/>
        <w:tabs>
          <w:tab w:leader="none" w:pos="176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may execute this Agreement in one or more counterparts, all of which together shall constitute but one Agreement.</w:t>
      </w:r>
    </w:p>
    <w:p>
      <w:pPr>
        <w:spacing w:after="0" w:line="143" w:lineRule="exact"/>
        <w:rPr>
          <w:rFonts w:ascii="Times New Roman" w:cs="Times New Roman" w:eastAsia="Times New Roman" w:hAnsi="Times New Roman"/>
          <w:sz w:val="22"/>
          <w:szCs w:val="22"/>
          <w:color w:val="auto"/>
        </w:rPr>
      </w:pPr>
    </w:p>
    <w:p>
      <w:pPr>
        <w:jc w:val="both"/>
        <w:ind w:left="480" w:firstLine="644"/>
        <w:spacing w:after="0" w:line="247" w:lineRule="auto"/>
        <w:tabs>
          <w:tab w:leader="none" w:pos="176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acknowledges and consents to the collection, use, processing and transfer of personal Data (defined below) as described in this subsection. The Company and its affiliates hold certain personal information about the Participant, including Participant’s name, home address, personal telephone number, email address, date of birth, social security number or other employee identification number, salary, nationality, job title, information regarding shares of Common Stock held or equivalent benefits awarded, cancelled, purchased, vested, unvested or outstanding in your favor, for the purpose of managing and administering the Equity Compensation Plan (“Data”). The Company and its affiliates may transfer Data amongst themselves as necessary for the purpose of implementation, administration, and management of Participant’s participation in the Equity Compensation Plan, and the Company and its affiliates may each further transfer Data to any third parties assisting the Company or any such related entity in the implementation, administration, and management of the Equity Compensation Plan. Participant acknowledges that the transferors and transferees of such Data may be located anywhere in the world and hereby authorizes each of them to receive, possess, use, retain and transfer the Data, in electronic or other form, for the purposes of implementing, administering, and managing your participation in the Equity Compensation Plan.</w:t>
      </w:r>
    </w:p>
    <w:p>
      <w:pPr>
        <w:spacing w:after="0" w:line="19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IN WITNESS WHEREOF, the Participant and the Company have executed this Agreement as of the date set forth above.</w:t>
      </w:r>
    </w:p>
    <w:p>
      <w:pPr>
        <w:spacing w:after="0" w:line="17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DISTRIBUTION SOLUTIONS GROUP, INC.</w:t>
      </w:r>
    </w:p>
    <w:p>
      <w:pPr>
        <w:spacing w:after="0" w:line="200" w:lineRule="exact"/>
        <w:rPr>
          <w:sz w:val="20"/>
          <w:szCs w:val="20"/>
          <w:color w:val="auto"/>
        </w:rPr>
      </w:pPr>
    </w:p>
    <w:p>
      <w:pPr>
        <w:spacing w:after="0" w:line="3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4457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2">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3361055</wp:posOffset>
            </wp:positionH>
            <wp:positionV relativeFrom="paragraph">
              <wp:posOffset>-13970</wp:posOffset>
            </wp:positionV>
            <wp:extent cx="58293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3">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8" w:lineRule="exact"/>
        <w:rPr>
          <w:sz w:val="20"/>
          <w:szCs w:val="20"/>
          <w:color w:val="auto"/>
        </w:rPr>
      </w:pPr>
    </w:p>
    <w:p>
      <w:pPr>
        <w:spacing w:after="0"/>
        <w:tabs>
          <w:tab w:leader="none" w:pos="5400" w:val="left"/>
        </w:tabs>
        <w:rPr>
          <w:sz w:val="20"/>
          <w:szCs w:val="20"/>
          <w:color w:val="auto"/>
        </w:rPr>
      </w:pPr>
      <w:r>
        <w:rPr>
          <w:rFonts w:ascii="Times New Roman" w:cs="Times New Roman" w:eastAsia="Times New Roman" w:hAnsi="Times New Roman"/>
          <w:sz w:val="22"/>
          <w:szCs w:val="22"/>
          <w:color w:val="auto"/>
        </w:rPr>
        <w:t>[Participant]</w:t>
      </w:r>
      <w:r>
        <w:rPr>
          <w:sz w:val="20"/>
          <w:szCs w:val="20"/>
          <w:color w:val="auto"/>
        </w:rPr>
        <w:tab/>
      </w:r>
      <w:r>
        <w:rPr>
          <w:rFonts w:ascii="Times New Roman" w:cs="Times New Roman" w:eastAsia="Times New Roman" w:hAnsi="Times New Roman"/>
          <w:sz w:val="22"/>
          <w:szCs w:val="22"/>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060"/>
          </w:cols>
          <w:pgMar w:left="500" w:top="1422"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8"/>
        </w:trPr>
        <w:tc>
          <w:tcPr>
            <w:tcW w:w="8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tcPr>
          <w:p>
            <w:pPr>
              <w:ind w:left="2060"/>
              <w:spacing w:after="0"/>
              <w:rPr>
                <w:sz w:val="20"/>
                <w:szCs w:val="20"/>
                <w:color w:val="auto"/>
              </w:rPr>
            </w:pPr>
            <w:r>
              <w:rPr>
                <w:rFonts w:ascii="Times New Roman" w:cs="Times New Roman" w:eastAsia="Times New Roman" w:hAnsi="Times New Roman"/>
                <w:sz w:val="18"/>
                <w:szCs w:val="18"/>
                <w:b w:val="1"/>
                <w:bCs w:val="1"/>
                <w:color w:val="auto"/>
                <w:w w:val="98"/>
              </w:rPr>
              <w:t>EXHIBIT 21</w:t>
            </w:r>
          </w:p>
        </w:tc>
      </w:tr>
      <w:tr>
        <w:trPr>
          <w:trHeight w:val="648"/>
        </w:trPr>
        <w:tc>
          <w:tcPr>
            <w:tcW w:w="8180" w:type="dxa"/>
            <w:vAlign w:val="bottom"/>
            <w:gridSpan w:val="2"/>
          </w:tcPr>
          <w:p>
            <w:pPr>
              <w:ind w:left="4140"/>
              <w:spacing w:after="0"/>
              <w:rPr>
                <w:sz w:val="20"/>
                <w:szCs w:val="20"/>
                <w:color w:val="auto"/>
              </w:rPr>
            </w:pPr>
            <w:r>
              <w:rPr>
                <w:rFonts w:ascii="Times New Roman" w:cs="Times New Roman" w:eastAsia="Times New Roman" w:hAnsi="Times New Roman"/>
                <w:sz w:val="18"/>
                <w:szCs w:val="18"/>
                <w:b w:val="1"/>
                <w:bCs w:val="1"/>
                <w:color w:val="auto"/>
              </w:rPr>
              <w:t>SUBSIDIARIES OF THE COMPANY</w:t>
            </w:r>
          </w:p>
        </w:tc>
        <w:tc>
          <w:tcPr>
            <w:tcW w:w="3060" w:type="dxa"/>
            <w:vAlign w:val="bottom"/>
          </w:tcPr>
          <w:p>
            <w:pPr>
              <w:spacing w:after="0"/>
              <w:rPr>
                <w:sz w:val="24"/>
                <w:szCs w:val="24"/>
                <w:color w:val="auto"/>
              </w:rPr>
            </w:pPr>
          </w:p>
        </w:tc>
      </w:tr>
      <w:tr>
        <w:trPr>
          <w:trHeight w:val="257"/>
        </w:trPr>
        <w:tc>
          <w:tcPr>
            <w:tcW w:w="8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Pr>
          <w:p>
            <w:pPr>
              <w:spacing w:after="0"/>
              <w:rPr>
                <w:sz w:val="22"/>
                <w:szCs w:val="22"/>
                <w:color w:val="auto"/>
              </w:rPr>
            </w:pPr>
          </w:p>
        </w:tc>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5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301 HW Opus Holdings, Inc. (conducting business as Gexpro Services)</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Gexpro Services Supply Chain Management (Shanghai) Co. Ltd.</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GS Holdings Canada Inc.</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GS Holdings Denmark ApS</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Denmark</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GS Holdings RE LLC</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GS Operating, LLC</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GS Operating Holding Hungary Kft. - Dissolved as of 5/22/2024</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Hungary</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GS Operating Magyarország Általános Kereskedelmi és Szolgáltató Kft</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Hungary</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GX Pro Opus, S. de R.L. de C.V.</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Heads and Threads, Inc.</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Illinois</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HIS Company, Inc.</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Hisco Acquisition Subsidiary I, Inc.</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Hisco International, Inc.</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HiscoCan Inc.</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Ontario, Canada</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HiscoMex, S.A. de C.V.</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Convertidora HiscoMex, S.A., de C.V.</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Interworld Highway, LLC</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Jersey</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Lawson Products, Inc.</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Illinois</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Lawson Products Canada Inc.</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Lawson Products de Mexico, S.A. de C.V.</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MCS Rentals Holdings Limited</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MCS Test Group Limited</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MCS Test Holding Limited</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MCS Test Equipment Limited</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MCS Rentals Limited</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National Engineered Fasteners Inc.</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PT Gexpro Services Indonesia</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Indonesia</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Resolux ApS</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Denmark</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Resolux do Brazil Industria e Comercio Especializado em Energia Eolica Ltd.</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Resolux GmbH</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Resolux Inc.</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Iowa</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Resolux India Private Limited</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Resolux Turkey Ruzgar Turbinleri Elektrik Aksamlari Sanayi ve Ticaret Anonim Sirketi</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Turkey</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Resolux Windpower Technology (Tianjin) Co. Ltd.</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S&amp;S Automotive</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Illinois</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Soucie Salo Limited</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Atlantic Limited</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Tech Component Resources Pte. Ltd.</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Tech-Component Resources Sdn. Bhd.</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Malaysia</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TestEquity Acquisition LLC</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TestEquity Acquisition Holdings, LLC</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TestEquity de Mexico S. de R.L. de C.V.</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TestEquity GmbH</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TestEquity Inc.</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TestEquity LLC</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Bolt Supply House Ltd.</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bl>
    <w:p>
      <w:pPr>
        <w:spacing w:after="0" w:line="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Subsidiaries that in the aggregate are not considered significant to the consolidated results of the Company at the end of December 31, 2025 have been omitted.</w:t>
      </w:r>
    </w:p>
    <w:p>
      <w:pPr>
        <w:sectPr>
          <w:pgSz w:w="11900" w:h="16838" w:orient="portrait"/>
          <w:cols w:equalWidth="0" w:num="1">
            <w:col w:w="11240"/>
          </w:cols>
          <w:pgMar w:left="320" w:top="117"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have issued our reports dated March 5, 2026, with respect to the consolidated financial statements and internal control over financial reporting included in the Annual Report of Distribution Solutions Group, Inc. on Form 10-K for the year ended December 31, 2025. We consent to the incorporation by reference of the said reports in the Registration Statements of Distribution Solutions Group, Inc. on Form S-3 (File No. 333-270678) and Forms S-8 (File Nos. 333-199243 and 333-231672).</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2026</w:t>
      </w:r>
    </w:p>
    <w:p>
      <w:pPr>
        <w:sectPr>
          <w:pgSz w:w="11900" w:h="16838" w:orient="portrait"/>
          <w:cols w:equalWidth="0" w:num="1">
            <w:col w:w="11240"/>
          </w:cols>
          <w:pgMar w:left="320" w:top="1089"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Bryan King, certify that:</w:t>
      </w:r>
    </w:p>
    <w:p>
      <w:pPr>
        <w:spacing w:after="0" w:line="234" w:lineRule="exact"/>
        <w:rPr>
          <w:sz w:val="20"/>
          <w:szCs w:val="20"/>
          <w:color w:val="auto"/>
        </w:rPr>
      </w:pPr>
    </w:p>
    <w:p>
      <w:pPr>
        <w:ind w:left="180" w:hanging="172"/>
        <w:spacing w:after="0"/>
        <w:tabs>
          <w:tab w:leader="none" w:pos="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Distribution Solutions Group, Inc. (the “registrant”);</w:t>
      </w:r>
    </w:p>
    <w:p>
      <w:pPr>
        <w:spacing w:after="0" w:line="252" w:lineRule="exact"/>
        <w:rPr>
          <w:rFonts w:ascii="Times New Roman" w:cs="Times New Roman" w:eastAsia="Times New Roman" w:hAnsi="Times New Roman"/>
          <w:sz w:val="18"/>
          <w:szCs w:val="18"/>
          <w:color w:val="auto"/>
        </w:rPr>
      </w:pPr>
    </w:p>
    <w:p>
      <w:pPr>
        <w:ind w:left="180" w:right="100" w:hanging="172"/>
        <w:spacing w:after="0" w:line="312" w:lineRule="auto"/>
        <w:tabs>
          <w:tab w:leader="none" w:pos="198"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Times New Roman" w:cs="Times New Roman" w:eastAsia="Times New Roman" w:hAnsi="Times New Roman"/>
          <w:sz w:val="17"/>
          <w:szCs w:val="17"/>
          <w:color w:val="auto"/>
        </w:rPr>
      </w:pPr>
    </w:p>
    <w:p>
      <w:pPr>
        <w:ind w:left="180" w:right="540" w:hanging="172"/>
        <w:spacing w:after="0" w:line="282" w:lineRule="auto"/>
        <w:tabs>
          <w:tab w:leader="none" w:pos="19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180" w:right="20" w:hanging="172"/>
        <w:spacing w:after="0" w:line="266" w:lineRule="auto"/>
        <w:tabs>
          <w:tab w:leader="none" w:pos="19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500" w:right="20" w:hanging="330"/>
        <w:spacing w:after="0" w:line="266" w:lineRule="auto"/>
        <w:tabs>
          <w:tab w:leader="none" w:pos="55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500" w:right="220" w:hanging="330"/>
        <w:spacing w:after="0" w:line="266" w:lineRule="auto"/>
        <w:tabs>
          <w:tab w:leader="none" w:pos="56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500" w:hanging="330"/>
        <w:spacing w:after="0" w:line="282" w:lineRule="auto"/>
        <w:tabs>
          <w:tab w:leader="none" w:pos="55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500" w:right="40" w:hanging="330"/>
        <w:spacing w:after="0" w:line="266" w:lineRule="auto"/>
        <w:tabs>
          <w:tab w:leader="none" w:pos="56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180" w:right="480" w:hanging="172"/>
        <w:spacing w:after="0" w:line="282" w:lineRule="auto"/>
        <w:tabs>
          <w:tab w:leader="none" w:pos="19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500" w:right="440" w:hanging="330"/>
        <w:spacing w:after="0" w:line="282" w:lineRule="auto"/>
        <w:tabs>
          <w:tab w:leader="none" w:pos="49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500" w:right="340" w:hanging="330"/>
        <w:spacing w:after="0" w:line="282" w:lineRule="auto"/>
        <w:tabs>
          <w:tab w:leader="none" w:pos="55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5, 2026</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J. Bryan King</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 Bryan King</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89"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Ronald J. Knutson, certify that:</w:t>
      </w:r>
    </w:p>
    <w:p>
      <w:pPr>
        <w:spacing w:after="0" w:line="171" w:lineRule="exact"/>
        <w:rPr>
          <w:sz w:val="20"/>
          <w:szCs w:val="20"/>
          <w:color w:val="auto"/>
        </w:rPr>
      </w:pPr>
    </w:p>
    <w:p>
      <w:pPr>
        <w:ind w:left="320" w:hanging="312"/>
        <w:spacing w:after="0"/>
        <w:tabs>
          <w:tab w:leader="none" w:pos="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Distribution Solutions Group, Inc. (the “registrant”);</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3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20" w:hanging="332"/>
        <w:spacing w:after="0" w:line="282" w:lineRule="auto"/>
        <w:tabs>
          <w:tab w:leader="none" w:pos="33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40" w:hanging="332"/>
        <w:spacing w:after="0" w:line="266" w:lineRule="auto"/>
        <w:tabs>
          <w:tab w:leader="none" w:pos="32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71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72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660" w:right="820" w:hanging="328"/>
        <w:spacing w:after="0" w:line="312" w:lineRule="auto"/>
        <w:tabs>
          <w:tab w:leader="none" w:pos="716"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hanging="328"/>
        <w:spacing w:after="0" w:line="266" w:lineRule="auto"/>
        <w:tabs>
          <w:tab w:leader="none" w:pos="72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three months (the registrant’s fourth fiscal three months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2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70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71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 March 5, 2026</w:t>
      </w:r>
    </w:p>
    <w:p>
      <w:pPr>
        <w:spacing w:after="0" w:line="29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auto"/>
        </w:rPr>
        <w:t>/s/ Ronald J. Knutson</w:t>
      </w:r>
    </w:p>
    <w:p>
      <w:pPr>
        <w:spacing w:after="0" w:line="11" w:lineRule="exact"/>
        <w:rPr>
          <w:sz w:val="20"/>
          <w:szCs w:val="20"/>
          <w:color w:val="auto"/>
        </w:rPr>
      </w:pPr>
    </w:p>
    <w:p>
      <w:pPr>
        <w:ind w:left="100"/>
        <w:spacing w:after="0"/>
        <w:tabs>
          <w:tab w:leader="none" w:pos="1060" w:val="left"/>
        </w:tabs>
        <w:rPr>
          <w:sz w:val="20"/>
          <w:szCs w:val="20"/>
          <w:color w:val="auto"/>
        </w:rPr>
      </w:pPr>
      <w:r>
        <w:rPr>
          <w:rFonts w:ascii="Times New Roman" w:cs="Times New Roman" w:eastAsia="Times New Roman" w:hAnsi="Times New Roman"/>
          <w:sz w:val="18"/>
          <w:szCs w:val="18"/>
          <w:color w:val="auto"/>
        </w:rPr>
        <w:t>Ronald</w:t>
      </w:r>
      <w:r>
        <w:rPr>
          <w:sz w:val="20"/>
          <w:szCs w:val="20"/>
          <w:color w:val="auto"/>
        </w:rPr>
        <w:tab/>
      </w:r>
      <w:r>
        <w:rPr>
          <w:rFonts w:ascii="Times New Roman" w:cs="Times New Roman" w:eastAsia="Times New Roman" w:hAnsi="Times New Roman"/>
          <w:sz w:val="18"/>
          <w:szCs w:val="18"/>
          <w:color w:val="auto"/>
        </w:rPr>
        <w:t>J.</w:t>
      </w:r>
    </w:p>
    <w:p>
      <w:pPr>
        <w:ind w:left="100"/>
        <w:spacing w:after="0"/>
        <w:rPr>
          <w:sz w:val="20"/>
          <w:szCs w:val="20"/>
          <w:color w:val="auto"/>
        </w:rPr>
      </w:pPr>
      <w:r>
        <w:rPr>
          <w:rFonts w:ascii="Times New Roman" w:cs="Times New Roman" w:eastAsia="Times New Roman" w:hAnsi="Times New Roman"/>
          <w:sz w:val="18"/>
          <w:szCs w:val="18"/>
          <w:color w:val="auto"/>
        </w:rPr>
        <w:t>Knutson</w:t>
      </w:r>
    </w:p>
    <w:p>
      <w:pPr>
        <w:spacing w:after="0" w:line="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Executive Vice President,</w:t>
      </w:r>
    </w:p>
    <w:p>
      <w:pPr>
        <w:ind w:left="100"/>
        <w:spacing w:after="0" w:line="219" w:lineRule="auto"/>
        <w:rPr>
          <w:sz w:val="20"/>
          <w:szCs w:val="20"/>
          <w:color w:val="auto"/>
        </w:rPr>
      </w:pPr>
      <w:r>
        <w:rPr>
          <w:rFonts w:ascii="Times New Roman" w:cs="Times New Roman" w:eastAsia="Times New Roman" w:hAnsi="Times New Roman"/>
          <w:sz w:val="18"/>
          <w:szCs w:val="18"/>
          <w:color w:val="auto"/>
        </w:rPr>
        <w:t>Chief Financial Officer and</w:t>
      </w:r>
    </w:p>
    <w:p>
      <w:pPr>
        <w:ind w:left="100"/>
        <w:spacing w:after="0"/>
        <w:rPr>
          <w:sz w:val="20"/>
          <w:szCs w:val="20"/>
          <w:color w:val="auto"/>
        </w:rPr>
      </w:pPr>
      <w:r>
        <w:rPr>
          <w:rFonts w:ascii="Times New Roman" w:cs="Times New Roman" w:eastAsia="Times New Roman" w:hAnsi="Times New Roman"/>
          <w:sz w:val="18"/>
          <w:szCs w:val="18"/>
          <w:color w:val="auto"/>
        </w:rPr>
        <w:t>Treasurer</w:t>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w:t>
      </w:r>
    </w:p>
    <w:p>
      <w:pPr>
        <w:spacing w:after="0" w:line="3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34"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Distribution Solutions Group, Inc. (the “Company”) on Form 10-K for the period ending December 31, 2025 as filed with the Securities and Exchange Commission on the date hereof (the “Report”), the undersigned Chief Executive Officer and Chief Financial Officer of the Company hereby certify, pursuant to 18 U.S.C. §1350, as adopted pursuant to §906 of the Sarbanes-Oxley Act of 2002 that based on their knowledge:</w:t>
      </w:r>
    </w:p>
    <w:p>
      <w:pPr>
        <w:spacing w:after="0" w:line="207" w:lineRule="exact"/>
        <w:rPr>
          <w:sz w:val="20"/>
          <w:szCs w:val="20"/>
          <w:color w:val="auto"/>
        </w:rPr>
      </w:pPr>
    </w:p>
    <w:p>
      <w:pPr>
        <w:ind w:left="640" w:hanging="308"/>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periods covered in the Report.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 Bryan King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Bryan King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Solutions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Ronald J. Knutson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Ronald J. Knutson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Solutions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o"/>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1)"/>
      <w:numFmt w:val="decimal"/>
      <w:start w:val="1"/>
    </w:lvl>
  </w:abstractNum>
  <w:abstractNum w:abstractNumId="7">
    <w:nsid w:val="1E7FF521"/>
    <w:multiLevelType w:val="hybridMultilevel"/>
    <w:lvl w:ilvl="0">
      <w:lvlJc w:val="left"/>
      <w:lvlText w:val="(%1)"/>
      <w:numFmt w:val="decimal"/>
      <w:start w:val="1"/>
    </w:lvl>
  </w:abstractNum>
  <w:abstractNum w:abstractNumId="8">
    <w:nsid w:val="7C3DBD3D"/>
    <w:multiLevelType w:val="hybridMultilevel"/>
    <w:lvl w:ilvl="0">
      <w:lvlJc w:val="left"/>
      <w:lvlText w:val="(%1)"/>
      <w:numFmt w:val="decimal"/>
      <w:start w:val="1"/>
    </w:lvl>
  </w:abstractNum>
  <w:abstractNum w:abstractNumId="9">
    <w:nsid w:val="737B8DDC"/>
    <w:multiLevelType w:val="hybridMultilevel"/>
    <w:lvl w:ilvl="0">
      <w:lvlJc w:val="left"/>
      <w:lvlText w:val="(%1)"/>
      <w:numFmt w:val="decimal"/>
      <w:start w:val="1"/>
    </w:lvl>
  </w:abstractNum>
  <w:abstractNum w:abstractNumId="10">
    <w:nsid w:val="6CEAF087"/>
    <w:multiLevelType w:val="hybridMultilevel"/>
    <w:lvl w:ilvl="0">
      <w:lvlJc w:val="left"/>
      <w:lvlText w:val="(%1)"/>
      <w:numFmt w:val="decimal"/>
      <w:start w:val="1"/>
    </w:lvl>
  </w:abstractNum>
  <w:abstractNum w:abstractNumId="11">
    <w:nsid w:val="22221A70"/>
    <w:multiLevelType w:val="hybridMultilevel"/>
    <w:lvl w:ilvl="0">
      <w:lvlJc w:val="left"/>
      <w:lvlText w:val="(%1)"/>
      <w:numFmt w:val="decimal"/>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1)"/>
      <w:numFmt w:val="decimal"/>
      <w:start w:val="1"/>
    </w:lvl>
  </w:abstractNum>
  <w:abstractNum w:abstractNumId="14">
    <w:nsid w:val="614FD4A1"/>
    <w:multiLevelType w:val="hybridMultilevel"/>
    <w:lvl w:ilvl="0">
      <w:lvlJc w:val="left"/>
      <w:lvlText w:val="(%1)"/>
      <w:numFmt w:val="decimal"/>
      <w:start w:val="1"/>
    </w:lvl>
  </w:abstractNum>
  <w:abstractNum w:abstractNumId="15">
    <w:nsid w:val="419AC241"/>
    <w:multiLevelType w:val="hybridMultilevel"/>
    <w:lvl w:ilvl="0">
      <w:lvlJc w:val="left"/>
      <w:lvlText w:val="(%1)"/>
      <w:numFmt w:val="decimal"/>
      <w:start w:val="1"/>
    </w:lvl>
  </w:abstractNum>
  <w:abstractNum w:abstractNumId="16">
    <w:nsid w:val="5577F8E1"/>
    <w:multiLevelType w:val="hybridMultilevel"/>
    <w:lvl w:ilvl="0">
      <w:lvlJc w:val="left"/>
      <w:lvlText w:val="(%1)"/>
      <w:numFmt w:val="decimal"/>
      <w:start w:val="1"/>
    </w:lvl>
  </w:abstractNum>
  <w:abstractNum w:abstractNumId="17">
    <w:nsid w:val="440BADFC"/>
    <w:multiLevelType w:val="hybridMultilevel"/>
    <w:lvl w:ilvl="0">
      <w:lvlJc w:val="left"/>
      <w:lvlText w:val="(%1)"/>
      <w:numFmt w:val="decimal"/>
      <w:start w:val="1"/>
    </w:lvl>
  </w:abstractNum>
  <w:abstractNum w:abstractNumId="18">
    <w:nsid w:val="5072367"/>
    <w:multiLevelType w:val="hybridMultilevel"/>
    <w:lvl w:ilvl="0">
      <w:lvlJc w:val="left"/>
      <w:lvlText w:val="(%1)"/>
      <w:numFmt w:val="decimal"/>
      <w:start w:val="1"/>
    </w:lvl>
  </w:abstractNum>
  <w:abstractNum w:abstractNumId="19">
    <w:nsid w:val="3804823E"/>
    <w:multiLevelType w:val="hybridMultilevel"/>
    <w:lvl w:ilvl="0">
      <w:lvlJc w:val="left"/>
      <w:lvlText w:val="(%1)"/>
      <w:numFmt w:val="decimal"/>
      <w:start w:val="1"/>
    </w:lvl>
  </w:abstractNum>
  <w:abstractNum w:abstractNumId="20">
    <w:nsid w:val="77465F01"/>
    <w:multiLevelType w:val="hybridMultilevel"/>
    <w:lvl w:ilvl="0">
      <w:lvlJc w:val="left"/>
      <w:lvlText w:val="(%1)"/>
      <w:numFmt w:val="decimal"/>
      <w:start w:val="1"/>
    </w:lvl>
  </w:abstractNum>
  <w:abstractNum w:abstractNumId="21">
    <w:nsid w:val="7724C67E"/>
    <w:multiLevelType w:val="hybridMultilevel"/>
    <w:lvl w:ilvl="0">
      <w:lvlJc w:val="left"/>
      <w:lvlText w:val="(%1)"/>
      <w:numFmt w:val="decimal"/>
      <w:start w:val="1"/>
    </w:lvl>
  </w:abstractNum>
  <w:abstractNum w:abstractNumId="22">
    <w:nsid w:val="5C482A97"/>
    <w:multiLevelType w:val="hybridMultilevel"/>
    <w:lvl w:ilvl="0">
      <w:lvlJc w:val="left"/>
      <w:lvlText w:val="(%1)"/>
      <w:numFmt w:val="decimal"/>
      <w:start w:val="1"/>
    </w:lvl>
  </w:abstractNum>
  <w:abstractNum w:abstractNumId="23">
    <w:nsid w:val="2463B9EA"/>
    <w:multiLevelType w:val="hybridMultilevel"/>
    <w:lvl w:ilvl="0">
      <w:lvlJc w:val="left"/>
      <w:lvlText w:val="(%1)"/>
      <w:numFmt w:val="decimal"/>
      <w:start w:val="1"/>
    </w:lvl>
  </w:abstractNum>
  <w:abstractNum w:abstractNumId="24">
    <w:nsid w:val="5E884ADC"/>
    <w:multiLevelType w:val="hybridMultilevel"/>
    <w:lvl w:ilvl="0">
      <w:lvlJc w:val="left"/>
      <w:lvlText w:val="(%1)"/>
      <w:numFmt w:val="decimal"/>
      <w:start w:val="1"/>
    </w:lvl>
  </w:abstractNum>
  <w:abstractNum w:abstractNumId="25">
    <w:nsid w:val="51EAD36B"/>
    <w:multiLevelType w:val="hybridMultilevel"/>
    <w:lvl w:ilvl="0">
      <w:lvlJc w:val="left"/>
      <w:lvlText w:val="(%1)"/>
      <w:numFmt w:val="decimal"/>
      <w:start w:val="1"/>
    </w:lvl>
  </w:abstractNum>
  <w:abstractNum w:abstractNumId="26">
    <w:nsid w:val="2D517796"/>
    <w:multiLevelType w:val="hybridMultilevel"/>
    <w:lvl w:ilvl="0">
      <w:lvlJc w:val="left"/>
      <w:lvlText w:val="%1."/>
      <w:numFmt w:val="lowerLetter"/>
      <w:start w:val="1"/>
    </w:lvl>
  </w:abstractNum>
  <w:abstractNum w:abstractNumId="27">
    <w:nsid w:val="580BD78F"/>
    <w:multiLevelType w:val="hybridMultilevel"/>
    <w:lvl w:ilvl="0">
      <w:lvlJc w:val="left"/>
      <w:lvlText w:val="%1."/>
      <w:numFmt w:val="lowerLetter"/>
      <w:start w:val="2"/>
    </w:lvl>
  </w:abstractNum>
  <w:abstractNum w:abstractNumId="28">
    <w:nsid w:val="153EA438"/>
    <w:multiLevelType w:val="hybridMultilevel"/>
    <w:lvl w:ilvl="0">
      <w:lvlJc w:val="left"/>
      <w:lvlText w:val="%1."/>
      <w:numFmt w:val="lowerLetter"/>
      <w:start w:val="3"/>
    </w:lvl>
  </w:abstractNum>
  <w:abstractNum w:abstractNumId="29">
    <w:nsid w:val="3855585C"/>
    <w:multiLevelType w:val="hybridMultilevel"/>
    <w:lvl w:ilvl="0">
      <w:lvlJc w:val="left"/>
      <w:lvlText w:val="%1."/>
      <w:numFmt w:val="lowerLetter"/>
      <w:start w:val="4"/>
    </w:lvl>
  </w:abstractNum>
  <w:abstractNum w:abstractNumId="30">
    <w:nsid w:val="70A64E2A"/>
    <w:multiLevelType w:val="hybridMultilevel"/>
    <w:lvl w:ilvl="0">
      <w:lvlJc w:val="left"/>
      <w:lvlText w:val="%1."/>
      <w:numFmt w:val="lowerLetter"/>
      <w:start w:val="5"/>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1)"/>
      <w:numFmt w:val="lowerLetter"/>
      <w:start w:val="1"/>
    </w:lvl>
    <w:lvl w:ilvl="1">
      <w:lvlJc w:val="left"/>
      <w:lvlText w:val="(%2)"/>
      <w:numFmt w:val="decimal"/>
      <w:start w:val="2"/>
    </w:lvl>
  </w:abstractNum>
  <w:abstractNum w:abstractNumId="33">
    <w:nsid w:val="1D4ED43B"/>
    <w:multiLevelType w:val="hybridMultilevel"/>
    <w:lvl w:ilvl="0">
      <w:lvlJc w:val="left"/>
      <w:lvlText w:val="%1"/>
      <w:numFmt w:val="decimal"/>
      <w:start w:val="19"/>
    </w:lvl>
  </w:abstractNum>
  <w:abstractNum w:abstractNumId="34">
    <w:nsid w:val="725A06FB"/>
    <w:multiLevelType w:val="hybridMultilevel"/>
    <w:lvl w:ilvl="0">
      <w:lvlJc w:val="left"/>
      <w:lvlText w:val="%1"/>
      <w:numFmt w:val="decimal"/>
      <w:start w:val="97"/>
    </w:lvl>
  </w:abstractNum>
  <w:abstractNum w:abstractNumId="35">
    <w:nsid w:val="2CD89A32"/>
    <w:multiLevelType w:val="hybridMultilevel"/>
    <w:lvl w:ilvl="0">
      <w:lvlJc w:val="left"/>
      <w:lvlText w:val="†"/>
      <w:numFmt w:val="bullet"/>
      <w:start w:val="1"/>
    </w:lvl>
    <w:lvl w:ilvl="1">
      <w:lvlJc w:val="left"/>
      <w:lvlText w:val="%2"/>
      <w:numFmt w:val="decimal"/>
      <w:start w:val="104"/>
    </w:lvl>
  </w:abstractNum>
  <w:abstractNum w:abstractNumId="36">
    <w:nsid w:val="57E4CCAF"/>
    <w:multiLevelType w:val="hybridMultilevel"/>
    <w:lvl w:ilvl="0">
      <w:lvlJc w:val="left"/>
      <w:lvlText w:val="%1."/>
      <w:numFmt w:val="decimal"/>
      <w:start w:val="1"/>
    </w:lvl>
  </w:abstractNum>
  <w:abstractNum w:abstractNumId="37">
    <w:nsid w:val="7A6D8D3C"/>
    <w:multiLevelType w:val="hybridMultilevel"/>
    <w:lvl w:ilvl="0">
      <w:lvlJc w:val="left"/>
      <w:lvlText w:val="1"/>
      <w:numFmt w:val="bullet"/>
      <w:start w:val="1"/>
    </w:lvl>
  </w:abstractNum>
  <w:abstractNum w:abstractNumId="38">
    <w:nsid w:val="4B588F54"/>
    <w:multiLevelType w:val="hybridMultilevel"/>
    <w:lvl w:ilvl="0">
      <w:lvlJc w:val="left"/>
      <w:lvlText w:val="2"/>
      <w:numFmt w:val="bullet"/>
      <w:start w:val="1"/>
    </w:lvl>
  </w:abstractNum>
  <w:abstractNum w:abstractNumId="39">
    <w:nsid w:val="542289EC"/>
    <w:multiLevelType w:val="hybridMultilevel"/>
    <w:lvl w:ilvl="0">
      <w:lvlJc w:val="left"/>
      <w:lvlText w:val="%1."/>
      <w:numFmt w:val="decimal"/>
      <w:start w:val="3"/>
    </w:lvl>
    <w:lvl w:ilvl="1">
      <w:lvlJc w:val="left"/>
      <w:lvlText w:val="(%2)"/>
      <w:numFmt w:val="lowerLetter"/>
      <w:start w:val="1"/>
    </w:lvl>
  </w:abstractNum>
  <w:abstractNum w:abstractNumId="40">
    <w:nsid w:val="6DE91B18"/>
    <w:multiLevelType w:val="hybridMultilevel"/>
    <w:lvl w:ilvl="0">
      <w:lvlJc w:val="left"/>
      <w:lvlText w:val="4"/>
      <w:numFmt w:val="bullet"/>
      <w:start w:val="1"/>
    </w:lvl>
  </w:abstractNum>
  <w:abstractNum w:abstractNumId="41">
    <w:nsid w:val="38437FDB"/>
    <w:multiLevelType w:val="hybridMultilevel"/>
    <w:lvl w:ilvl="0">
      <w:lvlJc w:val="left"/>
      <w:lvlText w:val="%1."/>
      <w:numFmt w:val="decimal"/>
      <w:start w:val="8"/>
    </w:lvl>
    <w:lvl w:ilvl="1">
      <w:lvlJc w:val="left"/>
      <w:lvlText w:val="(%2)"/>
      <w:numFmt w:val="lowerLetter"/>
      <w:start w:val="1"/>
    </w:lvl>
  </w:abstractNum>
  <w:abstractNum w:abstractNumId="42">
    <w:nsid w:val="7644A45C"/>
    <w:multiLevelType w:val="hybridMultilevel"/>
    <w:lvl w:ilvl="0">
      <w:lvlJc w:val="left"/>
      <w:lvlText w:val="(%1)"/>
      <w:numFmt w:val="lowerLetter"/>
      <w:start w:val="5"/>
    </w:lvl>
  </w:abstractNum>
  <w:abstractNum w:abstractNumId="43">
    <w:nsid w:val="32FFF902"/>
    <w:multiLevelType w:val="hybridMultilevel"/>
    <w:lvl w:ilvl="0">
      <w:lvlJc w:val="left"/>
      <w:lvlText w:val="%1."/>
      <w:numFmt w:val="decimal"/>
      <w:start w:val="1"/>
    </w:lvl>
    <w:lvl w:ilvl="1">
      <w:lvlJc w:val="left"/>
      <w:lvlText w:val="(%2)"/>
      <w:numFmt w:val="lowerLetter"/>
      <w:start w:val="1"/>
    </w:lvl>
  </w:abstractNum>
  <w:abstractNum w:abstractNumId="44">
    <w:nsid w:val="684A481A"/>
    <w:multiLevelType w:val="hybridMultilevel"/>
    <w:lvl w:ilvl="0">
      <w:lvlJc w:val="left"/>
      <w:lvlText w:val="1"/>
      <w:numFmt w:val="bullet"/>
      <w:start w:val="1"/>
    </w:lvl>
  </w:abstractNum>
  <w:abstractNum w:abstractNumId="45">
    <w:nsid w:val="579478FE"/>
    <w:multiLevelType w:val="hybridMultilevel"/>
    <w:lvl w:ilvl="0">
      <w:lvlJc w:val="left"/>
      <w:lvlText w:val="%1."/>
      <w:numFmt w:val="decimal"/>
      <w:start w:val="2"/>
    </w:lvl>
    <w:lvl w:ilvl="1">
      <w:lvlJc w:val="left"/>
      <w:lvlText w:val="(%2)"/>
      <w:numFmt w:val="lowerLetter"/>
      <w:start w:val="1"/>
    </w:lvl>
  </w:abstractNum>
  <w:abstractNum w:abstractNumId="46">
    <w:nsid w:val="749ABB43"/>
    <w:multiLevelType w:val="hybridMultilevel"/>
    <w:lvl w:ilvl="0">
      <w:lvlJc w:val="left"/>
      <w:lvlText w:val="%1."/>
      <w:numFmt w:val="decimal"/>
      <w:start w:val="5"/>
    </w:lvl>
  </w:abstractNum>
  <w:abstractNum w:abstractNumId="47">
    <w:nsid w:val="3DC240FB"/>
    <w:multiLevelType w:val="hybridMultilevel"/>
    <w:lvl w:ilvl="0">
      <w:lvlJc w:val="left"/>
      <w:lvlText w:val="3"/>
      <w:numFmt w:val="bullet"/>
      <w:start w:val="1"/>
    </w:lvl>
  </w:abstractNum>
  <w:abstractNum w:abstractNumId="48">
    <w:nsid w:val="1BA026FA"/>
    <w:multiLevelType w:val="hybridMultilevel"/>
    <w:lvl w:ilvl="0">
      <w:lvlJc w:val="left"/>
      <w:lvlText w:val="(%1)"/>
      <w:numFmt w:val="lowerLetter"/>
      <w:start w:val="1"/>
    </w:lvl>
  </w:abstractNum>
  <w:abstractNum w:abstractNumId="49">
    <w:nsid w:val="79A1DEAA"/>
    <w:multiLevelType w:val="hybridMultilevel"/>
    <w:lvl w:ilvl="0">
      <w:lvlJc w:val="left"/>
      <w:lvlText w:val="(%1)"/>
      <w:numFmt w:val="lowerLetter"/>
      <w:start w:val="9"/>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20" Type="http://schemas.openxmlformats.org/officeDocument/2006/relationships/image" Target="media/image100.png"/><Relationship Id="rId138" Type="http://schemas.openxmlformats.org/officeDocument/2006/relationships/image" Target="media/image101.png"/><Relationship Id="rId139" Type="http://schemas.openxmlformats.org/officeDocument/2006/relationships/image" Target="media/image102.png"/><Relationship Id="rId141" Type="http://schemas.openxmlformats.org/officeDocument/2006/relationships/image" Target="media/image103.png"/><Relationship Id="rId142" Type="http://schemas.openxmlformats.org/officeDocument/2006/relationships/image" Target="media/image104.png"/><Relationship Id="rId143" Type="http://schemas.openxmlformats.org/officeDocument/2006/relationships/image" Target="media/image105.png"/><Relationship Id="rId144" Type="http://schemas.openxmlformats.org/officeDocument/2006/relationships/image" Target="media/image106.png"/><Relationship Id="rId145" Type="http://schemas.openxmlformats.org/officeDocument/2006/relationships/image" Target="media/image107.png"/><Relationship Id="rId146" Type="http://schemas.openxmlformats.org/officeDocument/2006/relationships/image" Target="media/image108.png"/><Relationship Id="rId147" Type="http://schemas.openxmlformats.org/officeDocument/2006/relationships/image" Target="media/image109.png"/><Relationship Id="rId148" Type="http://schemas.openxmlformats.org/officeDocument/2006/relationships/image" Target="media/image110.png"/><Relationship Id="rId149" Type="http://schemas.openxmlformats.org/officeDocument/2006/relationships/image" Target="media/image111.png"/><Relationship Id="rId150" Type="http://schemas.openxmlformats.org/officeDocument/2006/relationships/image" Target="media/image112.png"/><Relationship Id="rId151" Type="http://schemas.openxmlformats.org/officeDocument/2006/relationships/image" Target="media/image113.png"/><Relationship Id="rId152" Type="http://schemas.openxmlformats.org/officeDocument/2006/relationships/image" Target="media/image114.png"/><Relationship Id="rId153" Type="http://schemas.openxmlformats.org/officeDocument/2006/relationships/image" Target="media/image115.png"/><Relationship Id="rId107" Type="http://schemas.openxmlformats.org/officeDocument/2006/relationships/hyperlink" Target="https://www.sec.gov/Archives/edgar/data/703604/000119312522001102/d283504dex21.htm" TargetMode="External"/><Relationship Id="rId108" Type="http://schemas.openxmlformats.org/officeDocument/2006/relationships/hyperlink" Target="https://www.sec.gov/Archives/edgar/data/703604/000119312522001102/d283504dex22.htm" TargetMode="External"/><Relationship Id="rId109" Type="http://schemas.openxmlformats.org/officeDocument/2006/relationships/hyperlink" Target="https://www.sec.gov/Archives/edgar/data/703604/000119312523088229/d442506dex21.htm" TargetMode="External"/><Relationship Id="rId110" Type="http://schemas.openxmlformats.org/officeDocument/2006/relationships/hyperlink" Target="https://www.sec.gov/Archives/edgar/data/703604/000119312523226464/d545675dex31.htm" TargetMode="External"/><Relationship Id="rId111" Type="http://schemas.openxmlformats.org/officeDocument/2006/relationships/hyperlink" Target="https://www.sec.gov/Archives/edgar/data/703604/000119312522142321/d349962dex32.htm" TargetMode="External"/><Relationship Id="rId112" Type="http://schemas.openxmlformats.org/officeDocument/2006/relationships/hyperlink" Target="https://www.sec.gov/Archives/edgar/data/703604/000070360421000093/ex101executivedeferralpl.htm" TargetMode="External"/><Relationship Id="rId113" Type="http://schemas.openxmlformats.org/officeDocument/2006/relationships/hyperlink" Target="https://www.sec.gov/Archives/edgar/data/703604/000070360421000093/ex102amendedstockperform.htm" TargetMode="External"/><Relationship Id="rId114" Type="http://schemas.openxmlformats.org/officeDocument/2006/relationships/hyperlink" Target="https://www.sec.gov/Archives/edgar/data/703604/000070360421000035/exhibit1023stockperforma.htm" TargetMode="External"/><Relationship Id="rId115" Type="http://schemas.openxmlformats.org/officeDocument/2006/relationships/hyperlink" Target="https://www.sec.gov/Archives/edgar/data/703604/000091476005000086/l02121_x10c16.txt" TargetMode="External"/><Relationship Id="rId116" Type="http://schemas.openxmlformats.org/officeDocument/2006/relationships/hyperlink" Target="https://www.sec.gov/Archives/edgar/data/703604/000070360422000094/a2009equitycompensationp.htm" TargetMode="External"/><Relationship Id="rId117" Type="http://schemas.openxmlformats.org/officeDocument/2006/relationships/hyperlink" Target="https://www.sec.gov/Archives/edgar/data/703604/000070360421000093/ex103trgtunitsprandrsuaw.htm" TargetMode="External"/><Relationship Id="rId118" Type="http://schemas.openxmlformats.org/officeDocument/2006/relationships/hyperlink" Target="https://www.sec.gov/Archives/edgar/data/703604/000070360421000093/ex104msutrgtunitsroictrg.htm" TargetMode="External"/><Relationship Id="rId119" Type="http://schemas.openxmlformats.org/officeDocument/2006/relationships/hyperlink" Target="https://www.sec.gov/Archives/edgar/data/703604/000070360421000093/ex1025msutrgtunitsroicun.htm" TargetMode="External"/><Relationship Id="rId121" Type="http://schemas.openxmlformats.org/officeDocument/2006/relationships/hyperlink" Target="https://www.sec.gov/Archives/edgar/data/703604/000070360424000021/a202310kex1009.htm" TargetMode="External"/><Relationship Id="rId122" Type="http://schemas.openxmlformats.org/officeDocument/2006/relationships/hyperlink" Target="https://www.sec.gov/Archives/edgar/data/703604/000070360424000021/a202310kex1010.htm" TargetMode="External"/><Relationship Id="rId123" Type="http://schemas.openxmlformats.org/officeDocument/2006/relationships/hyperlink" Target="https://www.sec.gov/Archives/edgar/data/703604/000070360421000093/ex1062021aipsummary.htm" TargetMode="External"/><Relationship Id="rId124" Type="http://schemas.openxmlformats.org/officeDocument/2006/relationships/hyperlink" Target="https://www.sec.gov/Archives/edgar/data/703604/000095013708011717/c35632exv10w01.htm" TargetMode="External"/><Relationship Id="rId125" Type="http://schemas.openxmlformats.org/officeDocument/2006/relationships/hyperlink" Target="https://www.sec.gov/Archives/edgar/data/703604/000070360421000093/ex107changeincontrolagre.htm" TargetMode="External"/><Relationship Id="rId126" Type="http://schemas.openxmlformats.org/officeDocument/2006/relationships/hyperlink" Target="https://www.sec.gov/Archives/edgar/data/703604/000119312521070553/d152109dex101.htm" TargetMode="External"/><Relationship Id="rId127" Type="http://schemas.openxmlformats.org/officeDocument/2006/relationships/hyperlink" Target="https://www.sec.gov/Archives/edgar/data/703604/000119312522001102/d283504dex101.htm" TargetMode="External"/><Relationship Id="rId128" Type="http://schemas.openxmlformats.org/officeDocument/2006/relationships/hyperlink" Target="https://www.sec.gov/Archives/edgar/data/703604/000119312525328786/d83410dex101.htm" TargetMode="External"/><Relationship Id="rId129" Type="http://schemas.openxmlformats.org/officeDocument/2006/relationships/hyperlink" Target="https://www.sec.gov/Archives/edgar/data/703604/000119312522095177/d345714dex101.htm" TargetMode="External"/><Relationship Id="rId130" Type="http://schemas.openxmlformats.org/officeDocument/2006/relationships/hyperlink" Target="https://www.sec.gov/Archives/edgar/data/703604/000119312522100369/d356430dex101.htm" TargetMode="External"/><Relationship Id="rId131" Type="http://schemas.openxmlformats.org/officeDocument/2006/relationships/hyperlink" Target="https://www.sec.gov/Archives/edgar/data/703604/000070360422000069/ex1022lanuzaemploymentag.htm" TargetMode="External"/><Relationship Id="rId132" Type="http://schemas.openxmlformats.org/officeDocument/2006/relationships/hyperlink" Target="https://www.sec.gov/Archives/edgar/data/703604/000119312523020414/d457171dex101.htm" TargetMode="External"/><Relationship Id="rId133" Type="http://schemas.openxmlformats.org/officeDocument/2006/relationships/hyperlink" Target="https://www.sec.gov/Archives/edgar/data/703604/000119312523139516/d474598dex101.htm" TargetMode="External"/><Relationship Id="rId134" Type="http://schemas.openxmlformats.org/officeDocument/2006/relationships/hyperlink" Target="https://www.sec.gov/Archives/edgar/data/703604/000070360425000023/a2025q1ex102employmentagre.htm" TargetMode="External"/><Relationship Id="rId135" Type="http://schemas.openxmlformats.org/officeDocument/2006/relationships/hyperlink" Target="https://www.sec.gov/Archives/edgar/data/703604/000070360425000023/a2025q1ex103employmentagre.htm" TargetMode="External"/><Relationship Id="rId136" Type="http://schemas.openxmlformats.org/officeDocument/2006/relationships/hyperlink" Target="https://www.sec.gov/Archives/edgar/data/703604/000119312525154957/d817533dex101.htm" TargetMode="External"/><Relationship Id="rId137" Type="http://schemas.openxmlformats.org/officeDocument/2006/relationships/hyperlink" Target="https://www.sec.gov/Archives/edgar/data/703604/000070360425000012/a2024q4ex19insidertradingp.htm" TargetMode="External"/><Relationship Id="rId140" Type="http://schemas.openxmlformats.org/officeDocument/2006/relationships/hyperlink" Target="https://www.sec.gov/Archives/edgar/data/703604/000070360424000021/a2023ex97incentivebasedco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2026-03-05T06:52:21Z</dcterms:created>
  <dcterms:modified xsi:type="dcterms:W3CDTF">2026-03-05T06:52:21Z</dcterms:modified>
</cp:coreProperties>
</file>