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211d8k.htm"/>
      <w:bookmarkStart w:id="1" w:name="ksd1312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16, 2026 (July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Delaware</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 of incorporation)</w:t>
      </w:r>
    </w:p>
    <w:p>
      <w:pPr>
        <w:pStyle w:val="TextBody"/>
        <w:bidi w:val="0"/>
        <w:spacing w:before="240" w:after="0"/>
        <w:jc w:val="center"/>
        <w:rPr>
          <w:rFonts w:ascii="Times New Roman" w:hAnsi="Times New Roman"/>
          <w:b/>
          <w:sz w:val="20"/>
        </w:rPr>
      </w:pPr>
      <w:r>
        <w:rPr>
          <w:rFonts w:ascii="Times New Roman" w:hAnsi="Times New Roman"/>
          <w:b/>
          <w:sz w:val="20"/>
        </w:rPr>
        <w:t>000-10546</w:t>
      </w:r>
    </w:p>
    <w:p>
      <w:pPr>
        <w:pStyle w:val="TextBody"/>
        <w:bidi w:val="0"/>
        <w:spacing w:before="0" w:after="0"/>
        <w:jc w:val="center"/>
        <w:rPr>
          <w:rFonts w:ascii="Times New Roman" w:hAnsi="Times New Roman"/>
          <w:b/>
          <w:sz w:val="16"/>
        </w:rPr>
      </w:pPr>
      <w:r>
        <w:rPr>
          <w:rFonts w:ascii="Times New Roman" w:hAnsi="Times New Roman"/>
          <w:b/>
          <w:sz w:val="16"/>
        </w:rPr>
        <w:t>(Commission File Number)</w:t>
      </w:r>
    </w:p>
    <w:p>
      <w:pPr>
        <w:pStyle w:val="TextBody"/>
        <w:bidi w:val="0"/>
        <w:spacing w:before="240" w:after="0"/>
        <w:jc w:val="center"/>
        <w:rPr>
          <w:rFonts w:ascii="Times New Roman" w:hAnsi="Times New Roman"/>
          <w:b/>
          <w:sz w:val="20"/>
        </w:rPr>
      </w:pPr>
      <w:r>
        <w:rPr>
          <w:rFonts w:ascii="Times New Roman" w:hAnsi="Times New Roman"/>
          <w:b/>
          <w:sz w:val="20"/>
        </w:rPr>
        <w:t>36-2229304</w:t>
      </w:r>
    </w:p>
    <w:p>
      <w:pPr>
        <w:pStyle w:val="TextBody"/>
        <w:bidi w:val="0"/>
        <w:spacing w:before="0" w:after="0"/>
        <w:jc w:val="center"/>
        <w:rPr>
          <w:rFonts w:ascii="Times New Roman" w:hAnsi="Times New Roman"/>
          <w:b/>
          <w:sz w:val="16"/>
        </w:rPr>
      </w:pPr>
      <w:r>
        <w:rPr>
          <w:rFonts w:ascii="Times New Roman" w:hAnsi="Times New Roman"/>
          <w:b/>
          <w:sz w:val="16"/>
        </w:rPr>
        <w:t>(IRS Employer Identification No.)</w:t>
      </w:r>
    </w:p>
    <w:p>
      <w:pPr>
        <w:pStyle w:val="TextBody"/>
        <w:bidi w:val="0"/>
        <w:spacing w:before="240" w:after="0"/>
        <w:jc w:val="center"/>
        <w:rPr>
          <w:rFonts w:ascii="Times New Roman" w:hAnsi="Times New Roman"/>
          <w:b/>
          <w:sz w:val="20"/>
        </w:rPr>
      </w:pPr>
      <w:r>
        <w:rPr>
          <w:rFonts w:ascii="Times New Roman" w:hAnsi="Times New Roman"/>
          <w:b/>
          <w:sz w:val="20"/>
        </w:rPr>
        <w:t>301 Commerce Street, Suite 1700, Fort Worth, Texas 76102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(888) 611-9888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40" w:type="dxa"/>
        <w:jc w:val="left"/>
        <w:tblInd w:w="0" w:type="dxa"/>
        <w:tblLayout w:type="fixed"/>
        <w:tblCellMar>
          <w:top w:w="0" w:type="dxa"/>
          <w:left w:w="0" w:type="dxa"/>
          <w:bottom w:w="0" w:type="dxa"/>
          <w:right w:w="0" w:type="dxa"/>
        </w:tblCellMar>
      </w:tblPr>
      <w:tblGrid>
        <w:gridCol w:w="4025"/>
        <w:gridCol w:w="60"/>
        <w:gridCol w:w="740"/>
        <w:gridCol w:w="60"/>
        <w:gridCol w:w="255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$1.00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DSGR</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Item 1.01. Entry into a Material Definitive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Distribution Solutions Group, Inc., a Delaware corporation (“DSG” or the “Company”), entered into an Agreement and Plan of Merger (the “Merger Agreement”) by and among Eclipse Parent Acquisitions, LLC, a Delaware limited liability company (“Parent”), Eclipse Intermediate Acquisitions, LLC, a Delaware limited liability company and a wholly owned subsidiary of Parent (“Intermediate”), and Eclipse Acquisitions Merger Sub, Inc., a Delaware corporation and a wholly owned subsidiary of Intermediate (“Merger Sub”). Parent, Intermediate and Merger Sub were formed by, and are affiliated with, LKCM Headwater Investments, LLC (“LKCM Headwater”), J. Bryan King and their respective affiliates. Mr. King is the Company’s Chief Executive Officer and Chairman of the Company’s Board of Directors (the “Board”), and is also the Managing Partner of LKCM Headwater. LKCM Headwater and its affiliates beneficially own, in the aggregate, approximately 79% of the outstanding shares of the Company’s common stock, par value $1.00 per share (the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upon the terms and subject to the conditions set forth therein, and in accordance with the Delaware General Corporation Law (the “DGCL”), Merger Sub will merge with and into the Company (the “Merger” and, together with the other transactions contemplated by the Merger Agreement, collectively, the “Transactions”), with the Company continuing as the surviving corporation, becoming a wholly owned subsidiary of Intermediate and an indirect wholly owned subsidiary of Parent. Upon completion of the Merger, the Company will become a privately held company, and the Company Common Stock will no longer be listed on Nasdaq.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On the date and at the time at which the Merger becomes effective (the “Effective Time”), by virtue of the Merger and without any action on the part of the Company, Parent, Intermediate, Merger Sub or the holders of any shares of Company Common Stock or any shares of capital stock of Merger Sub, each share of Company Common Stock issued and outstanding immediately prior to the Effective Time (other than (i) Company Common Stock that is beneficially owned, directly or indirectly, by Parent, Intermediate, Merger Sub or any of Luther King Capital Management Corporation (“LKCM”), LKCM Headwater Investments II, L.P., LKCM Headwater Investments IV, L.P., LKCM Private Discipline Master Fund, SPC, PDLP Lawson, LLC, LKCM Investment Partnership, L.P., LKCM Micro-Cap Partnership, L.P., LKCM Core Discipline, L.P., 301 HW Opus Investors, LLC, LKCM TE Investors, LLC, Headwater Lawson Investors, LLC, J. Bryan King and each of their respective affiliates (collectively, the “Affiliated Stockholders”), (ii) Company Common Stock held in treasury or by any wholly owned subsidiary of the Company, and (iii) Company Common Stock held by stockholders who are entitled to and have properly exercised and not withdrawn appraisal rights under Section 262 of the DGCL) will be automatically canceled and converted into and shall thereafter represent only the right to receive an amount in cash equal to $35.00 per share, without interest (the “Merger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Committee; Board Approval </w:t>
      </w:r>
    </w:p>
    <w:p>
      <w:pPr>
        <w:pStyle w:val="TextBody"/>
        <w:bidi w:val="0"/>
        <w:spacing w:before="120" w:after="0"/>
        <w:jc w:val="left"/>
        <w:rPr>
          <w:rFonts w:ascii="Times New Roman" w:hAnsi="Times New Roman"/>
          <w:sz w:val="20"/>
        </w:rPr>
      </w:pPr>
      <w:r>
        <w:rPr>
          <w:rFonts w:ascii="Times New Roman" w:hAnsi="Times New Roman"/>
          <w:sz w:val="20"/>
        </w:rPr>
        <w:t xml:space="preserve">The Board established a special committee comprised solely of disinterested directors (the “Special Committee”) to among other things, consider, evaluate and negotiate the Merger Agreement and the Transactions, and make a recommendation to the Board with respect to the Merger Agreement and the Transactions. The Special Committee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Acting upon the Special Committee Recommendation, the Board, with certain directors recusing themselves from the vote, approved and declared advisable the Merger Agreement and the Transactions and recommended that the stockholders of the Company adopt the Merger Agreement and that the disinterested stockholders of the Company approve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Approvals;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Consummation of the Merger is subject to customary closing conditions, including, among others: (i) adoption of the Merger Agreement by the affirmative vote of the holders of a majority of the outstanding shares of Company Common Stock entitled to vote thereon; (ii) approval of the Transactions by the affirmative vote of a majority of the votes cast by the Company’s disinterested stockholders (as such term is defined in Section 144 of the DGCL) in respect of the Transactions,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(together with clause (i), the “Company Requisite Stockholder Approvals”); (iii) the expiration or termination of the waiting period applicable to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under the Hart-Scott-Rodino Antitrust Improvements Act of 1976, as amended (the “HSR Act”); (iv) the absence of any law or order that enjoins, restrains, makes illegal or otherwise prevents or prohibits the Merger; (v) no Material Adverse Effect (as defined in the Merger Agreement) having occurred since the date of the Merger Agreement; and (vi) other customary conditions, including the accuracy of the parties’ respective representations and warranties (subject to customary materiality qualifiers) and material compliance with covenants. The availability of financing is not a condition to the obligations of Parent, Intermediate and Merger Sub to consummate the Merger. In connection with the Merger, the Company agreed to comply with certain provisions of its Credit Agreement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Solicitation; Change in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“no-shop” restrictions on the Company’s ability to solicit alternative acquisition proposals, or to provide information to or engage in discussions or negotiations with third parties regarding alternative acquisition proposals, subject to a customary exception that permits the Company, prior to receipt of the Company Requisite Stockholder Approvals and under certain circumstances, to provide information to and participate in discussions with a third party that makes an unsolicited written acquisition proposal that the Board (acting on the recommendation of the Special Committee) or the Special Committee determines in good faith, after consultation with outside legal counsel and its financial advisor, constitutes or would reasonably be expected to lead to a Superior Proposal (as defined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receipt of the Company Requisite Stockholder Approvals, the Board (acting on the recommendation of the Special Committee) or the Special Committee may, subject to certain notice and matching-right provisions in favor of Parent, make an Adverse Recommendation Change (as defined in the Merger Agreement) with respect to a Superior Proposal, or the Company may terminate the Merger Agreement to enter into a definitive Acquisition Agreement (as defined in the Merger Agreement) with respect to such Superior Proposal, if the Board or the Special Committee determines in good faith, after consultation with its outside legal counsel and its financial advisor, that the failure to take such action would reasonably be expected to be inconsistent with its fiduciary duties under applicable law. In addition, at any time prior to obtaining the Company Requisite Stockholder Approvals, the Board (acting on the recommendation of the Special Committee) or the Special Committee may make an Adverse Recommendation Change in response to an Intervening Event (as defined in the Merger Agreement), if the Board or the Special Committee determines in good faith, after consultation with its outside legal counsel, that the failure to do so would reasonably be expected to be inconsistent with its fiduciary duties under applicable law. Parent has the right to terminate the Merger Agreement following any Adverse Recommendation Change, whether made in response to a Superior Proposal or an Intervening Event, in which case the Company would be required to pay Parent the Termination Fee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Rights; 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termination rights for the Company and Parent, including the right of either party to terminate the Merger Agreement if the Merger has not been consummated on or before December 31, 2026 (the “Outside Date”), subject to certain limitations and as such date may be extended pursuant to the terms of the Merger Agreement. If the Merger Agreement is terminated by the Company in connection with the Company’s entry into a definitive agreement providing for a Superior Proposal or by Parent in connection with an Adverse Recommendation Change, the Company would be required to pay Parent a termination fee in an amount in cash equal to $9,264,438 (the “Termination Fee”). If the Merger Agreement is terminated by the Company under specified circumstances relating to (i) the failure of Parent, Intermediate or Merger Sub to consummate the Merger when required to do so under the Merger Agreement or (ii) Parent’s, Intermediate’s or Merger Sub’s breach of its representations, warranties, covenants or agreements in the Merger Agreement that resulted from a Willful Breach (as defined in the Merger Agreement), Parent would be required to pay the Company a reverse termination fee in an amount in cash equal to $22,234,650 (the “Reverse Termination Fee”).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Committee’s recommendation in favor of the Merger, the Company would be required to pay Parent a termination fee in an amount in cash equal to $9,264,438 (the “Termination Fee”). If the Merger Agreement is terminated by the Company under specified circumstances relating to the failure of Parent, Intermediate or Merger Sub to consummate the Merger when required to do so under the Merger Agreement, Parent would be required to pay the Company a reverse termination fee in an amount in cash equal to $22,234,650 (the “Reverse Termination Fee”).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Company, certain of its subsidiaries (together with the Company, the “Loan Parties”), the Credit Agreement Lenders (as defined in the Merger Agreement) and JPMorgan Chase Bank, N.A., as administrative agent, entered into an amendment (the “Credit Agreement Amendment”) to the Company’s existing Second Amended and Restated Credit Agreement, dated as of December 18, 2025 (as amended by the Credit Agreement Amendment, the “Credit Agreement”),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(such financing, the “Credit Agreement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Credit Agreement Lenders under the Credit Agreement to fund such borrowings are subject to a number of customary conditions. Such borrowings will be priced by reference to a grid based on the Company’s leverage ratio with the margins ranging from 100 basis points to 300 basis points (for borrowings bearing interest based on the Secured Overnight Financing Rate) and 0 to 200 basis points (for borrowings bearing interest based on the alternative base rate). The Company shall pay a facility fee to the Credit Agreement Lenders priced by reference to a grid based on the Company’s leverage ratio with the applicable percentage ranging from 15 basis points to 40 basis points. The Company may be required to pay additional facility fee amounts priced at 50 basis points on the amount of revolving loans borrowed, subject to customary conditions. See Item 2.03 of this Current Report on Form 8-K for additional information regarding the Credit Agreement Amendment.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has agreed to provide Parent with customary cooperation in connection with Parent, Intermediate and Merger Sub obtaining debt financing for the purposes of consummating the Transactions, including using commercially reasonable efforts to maintain in effect the Credit Agreement Financing or to commence and consummate an offering of debt securities pursuant to Rule 144A or other exemption under the Securities Act of 1933.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LKCM Headwater Investments IV, L.P. (in its capacity as such, the “Equity Commitment Party”) entered into an equity commitment letter with Parent, Intermediate and Merger Sub (the “Equity Commitment Letter”), pursuant to which the Equity Commitment Party has committed, subject to the terms and conditions set forth therein, to purchase, or cause one or more of its affiliates to purchase, directly or indirectly, equity securities of Parent up to an aggregate amount equal to $125,000,000 to fund a portion of the amounts payable in connection with the Transactions (the “Equity Financing”). The Equity Commitment Party’s obligation to fund the commitment is subject solely to the conditions set forth in the Equity Commitment Letter, including satisfaction or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waiver of the conditions to Parent’s, Intermediate’s and Merger Sub’s obligations to consummate the Merger, the substantially concurrent consummation of the Closing (as defined in the Merger Agreement) and the Credit Agreement Financing or alternative debt financing having been funded or being funded at Closing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LKCM Headwater Investments IV, L.P. (in its capacity as such, the “Guarantor”) provided a limited guarantee in favor of the Company (the “Limited Guarantee”) pursuant to which, subject to the terms and conditions contained therein, the Guarantor is guaranteeing, among other things, Parent’s obligation to pay the Reverse Termination Fee, if and when due and payable under the Merger Agreement, and certain other payment obligations of Parent.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Company entered into a Voting and Support Agreement (the “Voting Agreement”) with LKCM, an affiliate of LKCM Headwater, pursuant to which LKCM has agreed, among other things, and subject to the terms and conditions set forth therein, to vote (or cause to be voted) all shares of Company Common Stock beneficially owned by it and its controlled affiliates (a) in favor of the adoption of the Merger Agreement and the approval of the Merger and the other Transactions and (b) against any alternative acquisition proposal and against any action, proposal or agreement that would reasonably be expected to impede, delay or prevent the timely consummation of the Merger or the Transactions. LKCM also agreed in the Voting Agreement to waive any appraisal rights under Section 262 of the DGCL with respect to its shares in connection with the Merger. The Voting Agreement will automatically terminate upon the earlier to occur of (i) the Effective Time and (ii) the termination of the Merger Agreement in accordance with its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agreed in writing by Parent and a holder thereof, each restricted stock unit with respect to Company Common Stock granted under an Equity Plan (as defined in the Merger Agreement) or otherwise (each, a “Company RSU”) outstanding immediately prior to the Effective Time that is (i) vested as of immediately prior to the Effective Time (but not yet settled) or that automatically vests as a result of the transactions contemplated by the Merger Agreement in accordance with its terms and without the exercise of any discretion (each, a “Vested Company RSU”) or (ii) held by a current or former nonemployee director of the Company, whether vested (but not yet settled) or unvested as of immediately prior to the Effective Time (each, a “Director RSU”), shall, as of the Effective Time, without any action on the part of any Person (as defined in the Merger Agreement), be canceled, and the holder thereof shall then become entitled to receive solely, in full satisfaction of the rights of such holder with respect thereto, an amount in cash, without interest and subject to applicable withholding Taxes (as defined in the Merger Agreement), equal to the product, rounded to the nearest cent, of (x) the number of shares of Company Common Stock subject to such Vested Company RSU or Director RSU, as applicable, immediately prior to the Effective Time and (y)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agreed in writing by Parent and a holder thereof, each option to purchase shares of Company Common Stock granted under an Equity Plan or otherwise (each, a “Company Stock Option”) that is outstanding immediately prior to the Effective Time that vested as of immediately prior to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Time (but not yet settled) or that automatically vests as a result of the transactions contemplated by the Merger Agreement in accordance with its terms and without the exercise of any discretion (each, a “Vested Company Option”), shall, as of the Effective Time, without any action on the part of any Person, vest and be canceled, and the holder thereof shall then become entitled to receive solely, in full satisfaction of the rights of such holder with respect thereto,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provided, however, that each Company Stock Option (whether or not such Company Stock Option is a Vested Company Option) for which the exercise price is greater than or equal to the Merger Consideration (each, an “Underwater Option”) shall be terminated and canceled for no payment without further action on the part of any Person. </w:t>
      </w:r>
    </w:p>
    <w:p>
      <w:pPr>
        <w:pStyle w:val="TextBody"/>
        <w:bidi w:val="0"/>
        <w:spacing w:before="360" w:after="0"/>
        <w:jc w:val="left"/>
        <w:rPr>
          <w:rFonts w:ascii="Times New Roman" w:hAnsi="Times New Roman"/>
          <w:sz w:val="20"/>
        </w:rPr>
      </w:pPr>
      <w:r>
        <w:rPr>
          <w:rFonts w:ascii="Times New Roman" w:hAnsi="Times New Roman"/>
          <w:sz w:val="20"/>
        </w:rPr>
        <w:t xml:space="preserve">Except as otherwise agreed in writing by Parent and a holder thereof, each stock performance right granted under an Equity Plan or otherwise (each, a “Company Stock Performance Right”) that is outstanding immediately prior to the Effective Time (but not yet settled) (each, a “Vested SPR”), shall, as of the Effective Time, without any action on the part of any Person, be canceled, and the holder thereof shall then become entitled to receive, in full satisfaction of the rights of such holder with respect thereto solely, an amount in cash, without interest and subject to applicable withholding Taxes, equal to the product of (i) the number of shares of Company Common Stock for which such Vested SPR has not then been exercised and (ii) the excess, if any, of the Merger Consideration over the per share exercise price of such Vested SPR.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agreed in writing by Parent and a holder thereof, at the Effective Time, each Company RSU other than a Vested Company RSU or a Director RSU (an “Unvested Company RSU”) shall, automatically and without any required action on the part of the holder thereof, cease to represent a restricted stock unit with a right to be settled with a share of Company Common Stock and shall be converted into a right to be settled in cash in an amount equal to the Merger Consideration (each, an “Unvested Cash RSU”). Except as specifically provided above, at and following the Effective Time, each such Unvested Cash RSU shall continue to be governed by the same vesting terms and conditions as were applicable to the applicable Unvested Company RSU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Except as otherwise agreed in writing by Parent and a holder thereof, at the Effective Time, each stock unit credited to the equity award deferral account of a participant under the Company Executive Deferral Plan (as defined in the Merger Agreement) (a “</w:t>
      </w:r>
      <w:r>
        <w:rPr>
          <w:rFonts w:ascii="Times New Roman" w:hAnsi="Times New Roman"/>
          <w:sz w:val="20"/>
          <w:u w:val="single"/>
        </w:rPr>
        <w:t>Company Stock Unit</w:t>
      </w:r>
      <w:r>
        <w:rPr>
          <w:rFonts w:ascii="Times New Roman" w:hAnsi="Times New Roman"/>
          <w:sz w:val="20"/>
        </w:rPr>
        <w:t xml:space="preserve">”) shall, automatically and without any required action on the part of the holder thereof, cease to represent a stock unit with a right to be settled with a share of Company Common Stock and shall be converted into an account credit in an amount equal to the Merger Consideration credited to such participant’s account balance in the Company Executive Deferral Plan which may then, after the Effective Time, be hypothetically invested in one or more measurement funds by the participant as provided in the terms of the Company Executive Deferral Plan. Such amount shall represent an unfunded obligation of the Company to make a cash payment(s) at such time and in such form to such participant pursuant to the terms of the Company Executive Deferral Plan. Except as specifically provided above, at and following the Effective Time, such amounts deferred in the Company Executive Deferral Plan shall remain subject to the terms of the Company Executive Deferral Plan.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the Voting Agreement and the Limited Guarantee are filed as Exhibits 2.1, 10.1 and 10.2, respectively, to this Current Report on Form 8-K and are incorporated herein by reference. The foregoing descriptions of the Merger Agreement, the Voting Agreement and the Limited Guarantee do not purport to be complete and are qualified in their entirety by reference to the full text of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included to provide investors and security holders with information regarding its terms and is not intended to provide any other factual information about the Company, Parent, Intermediate, Merger Sub or any of their respective affiliates or businesses. The representations, warranties and covenants contained in the Merger Agreement were made only for purposes of the Merger Agreement and as of specific dates, were solely for the benefit of the parties to the Merger Agreement, may be subject to limitations agreed upon by the contracting parties (including being qualified by confidential disclosures made between the parties), and may be subject to standards of materiality applicable to the contracting parties that differ from those applicable to investors. Except as expressly provided therein, investors and security holders are not third-party beneficiaries under the Merger Agreement and should not rely on the representations, warranties and covenants contained therein, or any descriptions thereof, as characterizations of the actual state of facts or condition of the Company, Parent, Intermediate, Merger Sub or any of their respective affiliates or businesses. Moreover, information concerning the subject matter of such representations and warranties may change after the date of the Merger Agreement, which subsequent information may or may not be fully reflected in the Company’s public disclosures.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under the heading “Financing”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Amendment introduces a “certain funds” framework for borrowings made to fund, among other things, Parent’s obligation to make the payments contemplated by the Merger Agreement. During the period from the First Amendment Date through the earlier of (x) the Effective Time and (y) January 8, 2027 (the “Certain Funds Period”), revolving loans to fund the merger consideration are subject only to limited conditions, including (i) no event of default with respect to payment obligations or bankruptcy/insolvency events, (ii) the accuracy of specified representations, (iii) the occurrence (or substantially contemporaneous occurrence) of the Effective Time, (iv) funding of the Equity Financing, (v) delivery of a solvency certificate and (vi) payment of all fees and expenses then due. The ordinary course conditions to borrowings under the Credit Agreement do not apply to borrowings made to fund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Certain Funds Period, the Credit Agreement Lenders may not exercise remedies under the Credit Agreement with respect to any event of default other than events of default relating to payment obligations or bankruptcy/insolvency events.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Agreement, the Company has agreed that borrowings in the form of Revolving Loans (as defined in the Credit Agreement) under the Credit Agreement between the signing of the Merger Agreement and the closing of the Merger (other than borrowings to finance certain contemplated acquisitions) will not exceed $100,000,000 at any given time.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Credit Agreement contains customary representations, warranties, affirmative and negative covenants, events of default, and other terms and conditions for transactions of this type. The obligations of the Loan Parties under the Credit Agreement are guaranteed by certain subsidiaries of the Company and secured by substantially all of the assets of the Loan Parties and the guarantors,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Credit Agreement Amendment does not purport to be complete and is qualified in its entirety by reference to the full text of the Credit Agreement, as amended by the Credit Agreement Amendment, a copy of which is filed as Exhibit 10.3 to this Current Report on Form 8-K and is incorporated herein by reference.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Item 7.01. Regulation FD. </w:t>
      </w:r>
    </w:p>
    <w:p>
      <w:pPr>
        <w:pStyle w:val="TextBody"/>
        <w:bidi w:val="0"/>
        <w:spacing w:before="120" w:after="0"/>
        <w:jc w:val="left"/>
        <w:rPr>
          <w:rFonts w:ascii="Times New Roman" w:hAnsi="Times New Roman"/>
          <w:sz w:val="20"/>
        </w:rPr>
      </w:pPr>
      <w:r>
        <w:rPr>
          <w:rFonts w:ascii="Times New Roman" w:hAnsi="Times New Roman"/>
          <w:sz w:val="20"/>
        </w:rPr>
        <w:t xml:space="preserve">A copy of the press release announcing the execution of the Merger Agreement is filed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“filed” for purposes of Section 18 of the Exchange Act or otherwise subject to the liabilities of that section, nor shall such information be deemed incorporated by reference in any filing under the Securities Act or the Exchange Act, except as expressly set forth by specific reference in such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Additional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Merger, the Company intends to file with the U.S. Securities and Exchange Commission (the “SEC”) a proxy statement on Schedule 14A (the “Proxy Statement”), and the Company, LKCM and certain of their respective affiliates intend to jointly file with the SEC a transaction statement on Schedule 13E-3 (the “Schedule 13E-3”). The definitive Proxy Statement will be sent or otherwise made available to stockholders of the Company. This communication is not a substitute for the Proxy Statement, the Schedule 13E-3 or any other document that the Company may file with the SEC in connection with the proposed Merger. BEFORE MAKING ANY VOTING DECISION, INVESTORS AND SECURITY HOLDERS OF THE COMPANY ARE URGED TO READ THE PROXY STATEMENT, THE SCHEDULE 13E-3 AND OTHER RELEVANT DOCUMENTS FILED WITH THE SEC CAREFULLY AND IN THEIR ENTIRETY WHEN THEY BECOME AVAILABLE, BECAUSE THEY WILL CONTAIN IMPORTANT INFORMATION ABOUT THE COMPANY AND THE PROPOSED MERGER. Investors and security holders will be able to obtain copies of the Proxy Statement, the Schedule 13E-3 and other documents filed with the SEC by the Company free of charge from the SEC’s website at www.sec.gov or from the Company’s website.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 stockholders in connection with the proposed transaction. Information regarding the Company’s directors and executive officers is available in the Company’s proxy statement for its most recent annual meeting of stockholders and in other documents filed by the Company with the SEC. Additional information regarding the interests of those persons and other persons who may be deemed participants in the proposed transaction will be included in the Proxy Statement and Schedule 13E-3 when they are filed with the SEC. To the extent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holdings of the Company’s securities by its directors or executive officers have changed since the amounts set forth in such 2026 proxy statement, such changes have been or will be reflected on Initial Statements of Beneficial Ownership on Form 3 or Statements of Change in Ownership on Form 4 filed with the SEC.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including statements regarding the proposed Merger, the expected timing and completion of the proposed Merger, the expected ownership and status of the Company following completion of the proposed Merger, the delisting of the Company Common Stock from Nasdaq and the financing of the proposed Merger. Forward-looking statements are not guarantees of future performance and are subject to risks and uncertainties that could cause actual results to differ materially, including: the risk that the proposed Merger may not be completed in a timely manner or at all; the failure to satisfy closing conditions, including receipt of the Company Requisite Stockholder Approvals and expiration or termination of the applicable waiting period under the HSR Act; the imposition of conditions or restrictions in connection with obtaining HSR Act clearance; the risk that borrowings under the Credit Agreement may not be available to finance the Merger Consideration; the possibility that competing offers or acquisition proposals will be made; the occurrence of events giving rise to termination of the Merger Agreement, including in circumstances requiring payment of the Termination Fee; the effect of the pendency of the proposed Merger on the Company’s business relationships, operating results and business generally; the effect of the announcement or pendency of the proposed Merger on the Company’s business relationships, operating results, employees, customers, suppliers, financing sources and other business counterparties; risks related to diverting management’s attention from the Company’s ongoing business operations; the risk of litigation relating to the proposed Merger; and other risks described in the Company’s filings with the SEC, including its most recent Annual Report on Form 10-K and subsequent Quarterly Reports on Form 10-Q. The Company undertakes no obligation to update or revise any forward-looking statements, whether as a result of new information, future events or otherwise, except as required by law.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Item 9.01. Financial Statements and Exhibits. </w:t>
      </w:r>
    </w:p>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5"/>
        <w:gridCol w:w="120"/>
        <w:gridCol w:w="9520"/>
      </w:tblGrid>
      <w:tr>
        <w:trPr/>
        <w:tc>
          <w:tcPr>
            <w:tcW w:w="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0" w:type="dxa"/>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hyperlink w:anchor="d131211dex21.htm">
              <w:r>
                <w:rPr>
                  <w:rStyle w:val="InternetLink"/>
                </w:rPr>
                <w:t xml:space="preserve">Agreement and Plan of Merger, dated as of July 15, 2026, by and among Distribution Solutions Group, Inc., Eclipse Parent Acquisitions, LLC, Eclipse Intermediate Acquisitions, LLC and Eclipse Acquisitions Merger Sub, Inc. </w:t>
              </w:r>
            </w:hyperlink>
          </w:p>
        </w:tc>
      </w:tr>
      <w:tr>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hyperlink w:anchor="d131211dex101.htm">
              <w:r>
                <w:rPr>
                  <w:rStyle w:val="InternetLink"/>
                </w:rPr>
                <w:t xml:space="preserve">Voting and Support Agreement, dated as of July 15, 2026, by and between Distribution Solutions Group, Inc. and Luther King Capital Management Corporation. </w:t>
              </w:r>
            </w:hyperlink>
          </w:p>
        </w:tc>
      </w:tr>
      <w:tr>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hyperlink w:anchor="d131211dex102.htm">
              <w:r>
                <w:rPr>
                  <w:rStyle w:val="InternetLink"/>
                </w:rPr>
                <w:t xml:space="preserve">Limited Guarantee, dated as of July 15, 2026, by LKCM Headwater Investments IV, L.P. in favor of Distribution Solutions Group, Inc. </w:t>
              </w:r>
            </w:hyperlink>
          </w:p>
        </w:tc>
      </w:tr>
      <w:tr>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hyperlink w:anchor="d131211dex103.htm">
              <w:r>
                <w:rPr>
                  <w:rStyle w:val="InternetLink"/>
                </w:rPr>
                <w:t xml:space="preserve">First Amendment to Second Amended and Restated Credit Agreement, dated as of July 15, 2026, by and among Distribution Solutions Group, Inc., the subsidiary guarantors party thereto, the lenders party thereto and JPMorgan Chase Bank, N.A., as administrative agent. </w:t>
              </w:r>
            </w:hyperlink>
          </w:p>
        </w:tc>
      </w:tr>
      <w:tr>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hyperlink w:anchor="d131211dex991.htm">
              <w:r>
                <w:rPr>
                  <w:rStyle w:val="InternetLink"/>
                </w:rPr>
                <w:t xml:space="preserve">Press Release dated July 16, 2026 </w:t>
              </w:r>
            </w:hyperlink>
          </w:p>
        </w:tc>
      </w:tr>
      <w:tr>
        <w:trPr/>
        <w:tc>
          <w:tcPr>
            <w:tcW w:w="565" w:type="dxa"/>
            <w:tcBorders/>
            <w:vAlign w:val="center"/>
          </w:tcPr>
          <w:p>
            <w:pPr>
              <w:pStyle w:val="TableContents"/>
              <w:bidi w:val="0"/>
              <w:spacing w:before="0" w:after="283"/>
              <w:jc w:val="left"/>
              <w:rPr>
                <w:sz w:val="4"/>
                <w:szCs w:val="4"/>
              </w:rPr>
            </w:pPr>
            <w:r>
              <w:rPr>
                <w:sz w:val="4"/>
                <w:szCs w:val="4"/>
              </w:rPr>
            </w:r>
          </w:p>
        </w:tc>
        <w:tc>
          <w:tcPr>
            <w:tcW w:w="9640" w:type="dxa"/>
            <w:gridSpan w:val="2"/>
            <w:tcBorders/>
            <w:vAlign w:val="center"/>
          </w:tcPr>
          <w:p>
            <w:pPr>
              <w:pStyle w:val="TableContents"/>
              <w:bidi w:val="0"/>
              <w:spacing w:before="0" w:after="283"/>
              <w:jc w:val="left"/>
              <w:rPr>
                <w:sz w:val="4"/>
                <w:szCs w:val="4"/>
              </w:rPr>
            </w:pPr>
            <w:r>
              <w:rPr>
                <w:sz w:val="4"/>
                <w:szCs w:val="4"/>
              </w:rPr>
            </w:r>
          </w:p>
        </w:tc>
      </w:tr>
      <w:tr>
        <w:trPr/>
        <w:tc>
          <w:tcPr>
            <w:tcW w:w="56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to this agreement have been omitted pursuant to Item 601(a)(5) or Item 601(b)(2) of Regulation S-K, as applicable. The Company will furnish supplementally a copy of any omitted schedule or exhibit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665"/>
        <w:gridCol w:w="60"/>
        <w:gridCol w:w="609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95" w:type="dxa"/>
            <w:tcBorders/>
            <w:vAlign w:val="center"/>
          </w:tcPr>
          <w:p>
            <w:pPr>
              <w:pStyle w:val="TableContents"/>
              <w:bidi w:val="0"/>
              <w:spacing w:before="0" w:after="283"/>
              <w:jc w:val="left"/>
              <w:rPr>
                <w:sz w:val="4"/>
                <w:szCs w:val="4"/>
              </w:rPr>
            </w:pPr>
            <w:r>
              <w:rPr>
                <w:sz w:val="4"/>
                <w:szCs w:val="4"/>
              </w:rPr>
            </w:r>
          </w:p>
        </w:tc>
      </w:tr>
      <w:tr>
        <w:trPr/>
        <w:tc>
          <w:tcPr>
            <w:tcW w:w="6820" w:type="dxa"/>
            <w:gridSpan w:val="3"/>
            <w:tcBorders/>
            <w:vAlign w:val="center"/>
          </w:tcPr>
          <w:p>
            <w:pPr>
              <w:pStyle w:val="TableContents"/>
              <w:bidi w:val="0"/>
              <w:spacing w:before="0" w:after="283"/>
              <w:jc w:val="left"/>
              <w:rPr>
                <w:b/>
              </w:rPr>
            </w:pPr>
            <w:r>
              <w:rPr>
                <w:b/>
              </w:rPr>
              <w:t>DISTRIBUTION SOLUTIONS GROUP,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15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Ronald J. Knutson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283"/>
              <w:jc w:val="left"/>
              <w:rPr/>
            </w:pPr>
            <w:r>
              <w:rPr/>
              <w:t>Executive Vice President, 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16, 2026 </w:t>
      </w:r>
    </w:p>
    <w:p>
      <w:pPr>
        <w:pStyle w:val="TextBody"/>
        <w:bidi w:val="0"/>
        <w:spacing w:before="0" w:after="0"/>
        <w:jc w:val="right"/>
        <w:rPr>
          <w:rFonts w:ascii="Times New Roman" w:hAnsi="Times New Roman"/>
          <w:b/>
          <w:sz w:val="20"/>
        </w:rPr>
      </w:pPr>
      <w:bookmarkStart w:id="2" w:name="d131211dex21.htm"/>
      <w:bookmarkStart w:id="3" w:name="ksd131211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15,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PARENT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INTERMEDIATE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ACQUISITIONS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4"/>
        <w:gridCol w:w="131"/>
        <w:gridCol w:w="7977"/>
        <w:gridCol w:w="182"/>
        <w:gridCol w:w="96"/>
        <w:gridCol w:w="432"/>
        <w:gridCol w:w="63"/>
      </w:tblGrid>
      <w:tr>
        <w:trPr/>
        <w:tc>
          <w:tcPr>
            <w:tcW w:w="132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797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24"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97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2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432" w:type="dxa"/>
            <w:gridSpan w:val="3"/>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324"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Effects of the Merger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Charter and Bylaws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Corporation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2.07</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Taking of Necessary Action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32" w:type="dxa"/>
            <w:gridSpan w:val="3"/>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EFFECT OF THE MERGER ON CAPITAL STOCK; EXCHANGE OF SHARE CERTIFICATES; EQUITY-BASED AWARDS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324"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Effect on Capital Stock</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Exchange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Equity-Based Awards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Payments with Respect to Equity-Based Awards; Company Actions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3.06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Appraisal Rights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432" w:type="dxa"/>
            <w:gridSpan w:val="3"/>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943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324" w:type="dxa"/>
            <w:tcBorders/>
            <w:vAlign w:val="center"/>
          </w:tcPr>
          <w:p>
            <w:pPr>
              <w:pStyle w:val="TableContents"/>
              <w:bidi w:val="0"/>
              <w:spacing w:before="0" w:after="283"/>
              <w:jc w:val="left"/>
              <w:rPr>
                <w:sz w:val="4"/>
                <w:szCs w:val="4"/>
              </w:rPr>
            </w:pPr>
            <w:r>
              <w:rPr>
                <w:sz w:val="4"/>
                <w:szCs w:val="4"/>
              </w:rPr>
            </w:r>
          </w:p>
        </w:tc>
        <w:tc>
          <w:tcPr>
            <w:tcW w:w="8108" w:type="dxa"/>
            <w:gridSpan w:val="2"/>
            <w:tcBorders/>
            <w:vAlign w:val="center"/>
          </w:tcPr>
          <w:p>
            <w:pPr>
              <w:pStyle w:val="TableContents"/>
              <w:bidi w:val="0"/>
              <w:spacing w:before="0" w:after="283"/>
              <w:jc w:val="left"/>
              <w:rPr>
                <w:sz w:val="4"/>
                <w:szCs w:val="4"/>
              </w:rPr>
            </w:pPr>
            <w:r>
              <w:rPr>
                <w:sz w:val="4"/>
                <w:szCs w:val="4"/>
              </w:rPr>
            </w:r>
          </w:p>
        </w:tc>
        <w:tc>
          <w:tcPr>
            <w:tcW w:w="773" w:type="dxa"/>
            <w:gridSpan w:val="4"/>
            <w:tcBorders/>
            <w:vAlign w:val="center"/>
          </w:tcPr>
          <w:p>
            <w:pPr>
              <w:pStyle w:val="TableContents"/>
              <w:bidi w:val="0"/>
              <w:spacing w:before="0" w:after="283"/>
              <w:jc w:val="left"/>
              <w:rPr>
                <w:sz w:val="4"/>
                <w:szCs w:val="4"/>
              </w:rPr>
            </w:pPr>
            <w:r>
              <w:rPr>
                <w:sz w:val="4"/>
                <w:szCs w:val="4"/>
              </w:rPr>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Company SEC Documents; Undisclosed Liabilities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4.07</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4.08</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4.09</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Personal Property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 and Information Technology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Customers and Suppliers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324"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31" w:type="dxa"/>
            <w:tcBorders/>
            <w:vAlign w:val="bottom"/>
          </w:tcPr>
          <w:p>
            <w:pPr>
              <w:pStyle w:val="TableContents"/>
              <w:bidi w:val="0"/>
              <w:spacing w:before="0" w:after="283"/>
              <w:jc w:val="left"/>
              <w:rPr/>
            </w:pPr>
            <w:r>
              <w:rPr/>
              <w:t> </w:t>
            </w:r>
          </w:p>
        </w:tc>
        <w:tc>
          <w:tcPr>
            <w:tcW w:w="7977"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Information Supplied</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3"/>
        <w:gridCol w:w="130"/>
        <w:gridCol w:w="8113"/>
        <w:gridCol w:w="178"/>
        <w:gridCol w:w="96"/>
        <w:gridCol w:w="421"/>
        <w:gridCol w:w="64"/>
      </w:tblGrid>
      <w:tr>
        <w:trPr/>
        <w:tc>
          <w:tcPr>
            <w:tcW w:w="120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11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03"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No Anti-Takeover Provisions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Ownership and Operations of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Limited Guarantee; Support Agreement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5.08</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5.09</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Equity of the Company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ADDITIONAL COVENANTS AND AGREEMENTS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Change in Recommendation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 Approvals; Transaction Litigation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6.05</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 Notice of Certain Events; Confidentiality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Exculpation and Insurance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6.08</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De-listing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6.09</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the Proxy Statement and the Schedule 13E-3; Stockholders’ Meeting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CONDITIONS TO THE MERGER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Effect the Merger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Parent, Intermediate and Merger Sub</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Company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 EXTENSION; WAIVER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rHeight w:val="120" w:hRule="atLeast"/>
        </w:trPr>
        <w:tc>
          <w:tcPr>
            <w:tcW w:w="1203" w:type="dxa"/>
            <w:tcBorders/>
            <w:vAlign w:val="center"/>
          </w:tcPr>
          <w:p>
            <w:pPr>
              <w:pStyle w:val="TableContents"/>
              <w:bidi w:val="0"/>
              <w:spacing w:before="0" w:after="283"/>
              <w:jc w:val="left"/>
              <w:rPr>
                <w:sz w:val="4"/>
                <w:szCs w:val="4"/>
              </w:rPr>
            </w:pPr>
            <w:r>
              <w:rPr>
                <w:sz w:val="4"/>
                <w:szCs w:val="4"/>
              </w:rPr>
            </w:r>
          </w:p>
        </w:tc>
        <w:tc>
          <w:tcPr>
            <w:tcW w:w="8243"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8.03</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Fee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203" w:type="dxa"/>
            <w:tcBorders/>
          </w:tcPr>
          <w:p>
            <w:pPr>
              <w:pStyle w:val="TableContents"/>
              <w:bidi w:val="0"/>
              <w:spacing w:before="0" w:after="0"/>
              <w:jc w:val="left"/>
              <w:rPr>
                <w:rFonts w:ascii="Times New Roman" w:hAnsi="Times New Roman"/>
                <w:sz w:val="20"/>
              </w:rPr>
            </w:pPr>
            <w:r>
              <w:rPr>
                <w:rFonts w:ascii="Times New Roman" w:hAnsi="Times New Roman"/>
                <w:sz w:val="20"/>
              </w:rPr>
              <w:t>8.04</w:t>
            </w:r>
          </w:p>
        </w:tc>
        <w:tc>
          <w:tcPr>
            <w:tcW w:w="130" w:type="dxa"/>
            <w:tcBorders/>
            <w:vAlign w:val="bottom"/>
          </w:tcPr>
          <w:p>
            <w:pPr>
              <w:pStyle w:val="TableContents"/>
              <w:bidi w:val="0"/>
              <w:spacing w:before="0" w:after="283"/>
              <w:jc w:val="left"/>
              <w:rPr/>
            </w:pPr>
            <w:r>
              <w:rPr/>
              <w:t> </w:t>
            </w:r>
          </w:p>
        </w:tc>
        <w:tc>
          <w:tcPr>
            <w:tcW w:w="8113"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8"/>
        <w:gridCol w:w="132"/>
        <w:gridCol w:w="8083"/>
        <w:gridCol w:w="182"/>
        <w:gridCol w:w="96"/>
        <w:gridCol w:w="431"/>
        <w:gridCol w:w="63"/>
      </w:tblGrid>
      <w:tr>
        <w:trPr/>
        <w:tc>
          <w:tcPr>
            <w:tcW w:w="121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083"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18"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08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2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3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8215" w:type="dxa"/>
            <w:gridSpan w:val="2"/>
            <w:tcBorders/>
            <w:vAlign w:val="center"/>
          </w:tcPr>
          <w:p>
            <w:pPr>
              <w:pStyle w:val="TableContents"/>
              <w:bidi w:val="0"/>
              <w:spacing w:before="0" w:after="283"/>
              <w:jc w:val="left"/>
              <w:rPr>
                <w:sz w:val="4"/>
                <w:szCs w:val="4"/>
              </w:rPr>
            </w:pPr>
            <w:r>
              <w:rPr>
                <w:sz w:val="4"/>
                <w:szCs w:val="4"/>
              </w:rPr>
            </w:r>
          </w:p>
        </w:tc>
        <w:tc>
          <w:tcPr>
            <w:tcW w:w="772" w:type="dxa"/>
            <w:gridSpan w:val="4"/>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 Reliance Disclaimer</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Amendment or Supplement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Third-Party Beneficiaries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9.07</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Specific Enforcement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9.08</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9.09</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Non-Recourse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1218"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2" w:type="dxa"/>
            <w:tcBorders/>
            <w:vAlign w:val="bottom"/>
          </w:tcPr>
          <w:p>
            <w:pPr>
              <w:pStyle w:val="TableContents"/>
              <w:bidi w:val="0"/>
              <w:spacing w:before="0" w:after="283"/>
              <w:jc w:val="left"/>
              <w:rPr/>
            </w:pPr>
            <w:r>
              <w:rPr/>
              <w:t> </w:t>
            </w:r>
          </w:p>
        </w:tc>
        <w:tc>
          <w:tcPr>
            <w:tcW w:w="8083" w:type="dxa"/>
            <w:tcBorders/>
          </w:tcPr>
          <w:p>
            <w:pPr>
              <w:pStyle w:val="TableContents"/>
              <w:bidi w:val="0"/>
              <w:spacing w:before="0" w:after="0"/>
              <w:jc w:val="left"/>
              <w:rPr>
                <w:rFonts w:ascii="Times New Roman" w:hAnsi="Times New Roman"/>
                <w:sz w:val="20"/>
              </w:rPr>
            </w:pPr>
            <w:r>
              <w:rPr>
                <w:rFonts w:ascii="Times New Roman" w:hAnsi="Times New Roman"/>
                <w:sz w:val="20"/>
              </w:rPr>
              <w:t>Special Committee Matters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713"/>
        <w:gridCol w:w="101"/>
        <w:gridCol w:w="7964"/>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964"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pPr>
            <w:r>
              <w:rPr/>
              <w:t>Exhibit A</w:t>
            </w:r>
          </w:p>
        </w:tc>
        <w:tc>
          <w:tcPr>
            <w:tcW w:w="101"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7964" w:type="dxa"/>
            <w:tcBorders/>
          </w:tcPr>
          <w:p>
            <w:pPr>
              <w:pStyle w:val="TableContents"/>
              <w:bidi w:val="0"/>
              <w:spacing w:before="0" w:after="283"/>
              <w:jc w:val="left"/>
              <w:rPr/>
            </w:pPr>
            <w:r>
              <w:rPr/>
              <w:t>Form of Surviving Company Certificate of Incorporation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July 15, 2026 (this “</w:t>
      </w:r>
      <w:r>
        <w:rPr>
          <w:rFonts w:ascii="Times New Roman" w:hAnsi="Times New Roman"/>
          <w:sz w:val="20"/>
          <w:u w:val="single"/>
        </w:rPr>
        <w:t>Agreement</w:t>
      </w:r>
      <w:r>
        <w:rPr>
          <w:rFonts w:ascii="Times New Roman" w:hAnsi="Times New Roman"/>
          <w:sz w:val="20"/>
        </w:rPr>
        <w:t>”), is made by and among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and Distribution Solutions Group,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upon the terms and subject to the conditions set forth in this Agreement and in accordance with the Delaware General Corporation Law (as amended, the “</w:t>
      </w:r>
      <w:r>
        <w:rPr>
          <w:rFonts w:ascii="Times New Roman" w:hAnsi="Times New Roman"/>
          <w:sz w:val="20"/>
          <w:u w:val="single"/>
        </w:rPr>
        <w:t>DGCL</w:t>
      </w:r>
      <w:r>
        <w:rPr>
          <w:rFonts w:ascii="Times New Roman" w:hAnsi="Times New Roman"/>
          <w:sz w:val="20"/>
        </w:rPr>
        <w:t>”),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Intermediate and an indirect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Board</w:t>
      </w:r>
      <w:r>
        <w:rPr>
          <w:rFonts w:ascii="Times New Roman" w:hAnsi="Times New Roman"/>
          <w:sz w:val="20"/>
        </w:rPr>
        <w:t>”) established a special committee of the Board consisting only of members of the Board that are disinterested directors (as such term is defined in Section 144 of the DGCL) in respect of the transactions contemplated hereby (the “</w:t>
      </w:r>
      <w:r>
        <w:rPr>
          <w:rFonts w:ascii="Times New Roman" w:hAnsi="Times New Roman"/>
          <w:sz w:val="20"/>
          <w:u w:val="single"/>
        </w:rPr>
        <w:t>Special Committee</w:t>
      </w:r>
      <w:r>
        <w:rPr>
          <w:rFonts w:ascii="Times New Roman" w:hAnsi="Times New Roman"/>
          <w:sz w:val="20"/>
        </w:rPr>
        <w:t xml:space="preserve">”) to, among other things, (a) consider, evaluate and negotiate this Agreement and the transactions contemplated hereby, and (b) make a recommendation to the Board with respect to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the Special Committee, at a meeting duly called and held, has unanimously (a) determined that (i) this Agreement and the transactions contemplated hereby are fair to, advisable and in the best interests of, the Company and the Disinterested Stockholders and (ii) it is advisable and in the best interests of the Company and the Disinterested Stockholders for the Company to enter into this Agreement and consummate the transactions contemplated hereby and (b) recommended that the Board (i) approve and declare advisable this Agreement and the transactions contemplated hereby, (ii) submit this Agreement for the adoption by the stockholders of the Company at the Company Stockholders’ Meeting, and (iii) recommend that stockholders of the Company adopt this Agreement and that the Disinterested Stockholders approve the transactions contemplated by this Agreement (this </w:t>
      </w:r>
      <w:r>
        <w:rPr>
          <w:rFonts w:ascii="Times New Roman" w:hAnsi="Times New Roman"/>
          <w:sz w:val="20"/>
          <w:u w:val="single"/>
        </w:rPr>
        <w:t>clause (b)</w:t>
      </w:r>
      <w:r>
        <w:rPr>
          <w:rFonts w:ascii="Times New Roman" w:hAnsi="Times New Roman"/>
          <w:sz w:val="20"/>
        </w:rPr>
        <w:t>, the “</w:t>
      </w:r>
      <w:r>
        <w:rPr>
          <w:rFonts w:ascii="Times New Roman" w:hAnsi="Times New Roman"/>
          <w:sz w:val="20"/>
          <w:u w:val="single"/>
        </w:rPr>
        <w:t>Special Committee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at a meeting duly called and held, acting upon the Special Committee Recommendation, with certain directors recusing themselves from the vote, has (a) determined that this Agreement and the transactions contemplated hereby are fair to, advisable and in the best interests of, the Company and its stockholders, including the Disinterested Stockholders, (b) determined that it is advisable and in the best interests of the Company and its stockholders, including the Disinterested Stockholders, for the Company to enter into this Agreement and consummate the transactions contemplated hereby, (c)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(d) resolved to recommend that the stockholders of the Company adopt this Agreement and the Disinterested Stockholders approve the transactions contemplated by this Agreement (this </w:t>
      </w:r>
      <w:r>
        <w:rPr>
          <w:rFonts w:ascii="Times New Roman" w:hAnsi="Times New Roman"/>
          <w:sz w:val="20"/>
          <w:u w:val="single"/>
        </w:rPr>
        <w:t>clause (d)</w:t>
      </w:r>
      <w:r>
        <w:rPr>
          <w:rFonts w:ascii="Times New Roman" w:hAnsi="Times New Roman"/>
          <w:sz w:val="20"/>
        </w:rPr>
        <w:t>, the “</w:t>
      </w:r>
      <w:r>
        <w:rPr>
          <w:rFonts w:ascii="Times New Roman" w:hAnsi="Times New Roman"/>
          <w:sz w:val="20"/>
          <w:u w:val="single"/>
        </w:rPr>
        <w:t>Company Board Recommendation</w:t>
      </w:r>
      <w:r>
        <w:rPr>
          <w:rFonts w:ascii="Times New Roman" w:hAnsi="Times New Roman"/>
          <w:sz w:val="20"/>
        </w:rPr>
        <w:t xml:space="preserve">”) and (e) directed that this Agreement and the transactions contemplated hereby be submitted to the stockholders of the Company for adoption and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sole member of each of Parent and Intermediate has approved and declared advisable this Agreement and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(a) determined that this Agreement and the transactions contemplated hereby are fair to, advisable and in the best interests of, Merger Sub and its sole stockholder, (b) determined that it is advisable and in the best interests of Merger Sub and its sole stockholder to enter into this Agreement and consummate the transactions contemplated hereby, (c)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(d) resolved to recommend that the sole stockholder of Merger Sub adopt this Agreement and (e) directed that this Agreement be submitted to the sole stockholder of Merger Sub for adoption; </w:t>
      </w:r>
    </w:p>
    <w:p>
      <w:pPr>
        <w:pStyle w:val="TextBody"/>
        <w:bidi w:val="0"/>
        <w:spacing w:before="240" w:after="0"/>
        <w:jc w:val="left"/>
        <w:rPr>
          <w:rFonts w:ascii="Times New Roman" w:hAnsi="Times New Roman"/>
          <w:sz w:val="20"/>
        </w:rPr>
      </w:pPr>
      <w:r>
        <w:rPr>
          <w:rFonts w:ascii="Times New Roman" w:hAnsi="Times New Roman"/>
          <w:sz w:val="20"/>
        </w:rPr>
        <w:t>WHEREAS, Intermediate, in its capacity as the sole stockholder of Merger Sub, has delivered its written consent, effective immediately following the execution and delivery of this Agreement, adopting this Agreement (the “</w:t>
      </w:r>
      <w:r>
        <w:rPr>
          <w:rFonts w:ascii="Times New Roman" w:hAnsi="Times New Roman"/>
          <w:sz w:val="20"/>
          <w:u w:val="single"/>
        </w:rPr>
        <w:t>Merger Sub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LKCM Headwater Investments IV, L.P. (the “</w:t>
      </w:r>
      <w:r>
        <w:rPr>
          <w:rFonts w:ascii="Times New Roman" w:hAnsi="Times New Roman"/>
          <w:sz w:val="20"/>
          <w:u w:val="single"/>
        </w:rPr>
        <w:t>Equity Commitment Party</w:t>
      </w:r>
      <w:r>
        <w:rPr>
          <w:rFonts w:ascii="Times New Roman" w:hAnsi="Times New Roman"/>
          <w:sz w:val="20"/>
        </w:rPr>
        <w:t xml:space="preserve">”), has entered into and delivered an Equity Commitment Letter;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Equity Commitment Party (in such capacity, the “</w:t>
      </w:r>
      <w:r>
        <w:rPr>
          <w:rFonts w:ascii="Times New Roman" w:hAnsi="Times New Roman"/>
          <w:sz w:val="20"/>
          <w:u w:val="single"/>
        </w:rPr>
        <w:t>Guarantor</w:t>
      </w:r>
      <w:r>
        <w:rPr>
          <w:rFonts w:ascii="Times New Roman" w:hAnsi="Times New Roman"/>
          <w:sz w:val="20"/>
        </w:rPr>
        <w:t>”) has entered into a limited guarantee in favor of the Company (the “</w:t>
      </w:r>
      <w:r>
        <w:rPr>
          <w:rFonts w:ascii="Times New Roman" w:hAnsi="Times New Roman"/>
          <w:sz w:val="20"/>
          <w:u w:val="single"/>
        </w:rPr>
        <w:t>Limited Guarantee</w:t>
      </w:r>
      <w:r>
        <w:rPr>
          <w:rFonts w:ascii="Times New Roman" w:hAnsi="Times New Roman"/>
          <w:sz w:val="20"/>
        </w:rPr>
        <w:t xml:space="preserve">”), pursuant to which, under the terms and subject to the conditions set forth therein, the Guarantor is guaranteeing, among other things, Parent’s obligation to pay the Reverse Termination Fee, if and when such payment becomes due and payable by Parent, under this Agreement;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and the Sponsor have entered into and delivered a voting and support agreement (the “</w:t>
      </w:r>
      <w:r>
        <w:rPr>
          <w:rFonts w:ascii="Times New Roman" w:hAnsi="Times New Roman"/>
          <w:sz w:val="20"/>
          <w:u w:val="single"/>
        </w:rPr>
        <w:t>Support Agreement</w:t>
      </w:r>
      <w:r>
        <w:rPr>
          <w:rFonts w:ascii="Times New Roman" w:hAnsi="Times New Roman"/>
          <w:sz w:val="20"/>
        </w:rPr>
        <w:t xml:space="preserve">”)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that certain First Amendment to the Second Amended and Restated Credit Agreement (such amendment, the “</w:t>
      </w:r>
      <w:r>
        <w:rPr>
          <w:rFonts w:ascii="Times New Roman" w:hAnsi="Times New Roman"/>
          <w:sz w:val="20"/>
          <w:u w:val="single"/>
        </w:rPr>
        <w:t>Credit Agreement Amendment</w:t>
      </w:r>
      <w:r>
        <w:rPr>
          <w:rFonts w:ascii="Times New Roman" w:hAnsi="Times New Roman"/>
          <w:sz w:val="20"/>
        </w:rPr>
        <w:t>” and such credit agreement, as heretofore amended, restated, amended and restated, supplemented or otherwise modified and as further amended by the Credit Agreement Amendment and as further amended in a manner not prohibited hereby, the “</w:t>
      </w:r>
      <w:r>
        <w:rPr>
          <w:rFonts w:ascii="Times New Roman" w:hAnsi="Times New Roman"/>
          <w:sz w:val="20"/>
          <w:u w:val="single"/>
        </w:rPr>
        <w:t>Credit Agreement</w:t>
      </w:r>
      <w:r>
        <w:rPr>
          <w:rFonts w:ascii="Times New Roman" w:hAnsi="Times New Roman"/>
          <w:sz w:val="20"/>
        </w:rPr>
        <w:t>”) was entered into and delivered by the Company, the other Loan Parties (as defined in the Credit Agreement) thereto, the lenders party thereto (together with any other lenders from time to time party to the Credit Agreement Financing defined below, the “</w:t>
      </w:r>
      <w:r>
        <w:rPr>
          <w:rFonts w:ascii="Times New Roman" w:hAnsi="Times New Roman"/>
          <w:sz w:val="20"/>
          <w:u w:val="single"/>
        </w:rPr>
        <w:t>Credit Agreement Lenders</w:t>
      </w:r>
      <w:r>
        <w:rPr>
          <w:rFonts w:ascii="Times New Roman" w:hAnsi="Times New Roman"/>
          <w:sz w:val="20"/>
        </w:rPr>
        <w:t>”) and JPMorgan Chase Bank, N.A., as administrative agent,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contemplated by this Agreement (such financing, the “</w:t>
      </w:r>
      <w:r>
        <w:rPr>
          <w:rFonts w:ascii="Times New Roman" w:hAnsi="Times New Roman"/>
          <w:sz w:val="20"/>
          <w:u w:val="single"/>
        </w:rPr>
        <w:t>Credit Agreement Financing</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Company, Parent, Intermediate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Company, Parent, Intermediate and Merger Sub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Definitions</w:t>
      </w:r>
      <w:r>
        <w:rPr>
          <w:rFonts w:ascii="Times New Roman" w:hAnsi="Times New Roman"/>
          <w:sz w:val="20"/>
        </w:rPr>
        <w:t xml:space="preserve">. As used in this Agreement, the following terms have the meanings ascribed thereto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provisions that require any counterparty thereto (and its Affiliates and Representatives) that receives any non-public information of or with respect to the Company or any of its Subsidiaries to keep such information confidential;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confidentiality and use restriction provisions contained therein are no less favorable in the aggregate to the Company in any material respect than those set forth in the Confidentiality Agreement, and (b) such confidentiality agreement shall not prohibit or otherwise impair or restrict the Company’s ability to comply with any provision of this Agreement or to comply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Acceptable Confidentiality Agreement shall not be required to include any “standstill”, non-solicitation, exclusivity or similar provisions. </w:t>
      </w:r>
    </w:p>
    <w:p>
      <w:pPr>
        <w:pStyle w:val="TextBody"/>
        <w:bidi w:val="0"/>
        <w:spacing w:before="240" w:after="0"/>
        <w:jc w:val="left"/>
        <w:rPr/>
      </w:pPr>
      <w:r>
        <w:rPr/>
        <w:t>“</w:t>
      </w:r>
      <w:r>
        <w:rPr>
          <w:rFonts w:ascii="Times New Roman" w:hAnsi="Times New Roman"/>
          <w:sz w:val="20"/>
          <w:u w:val="single"/>
        </w:rPr>
        <w:t>Acquisition Agreement</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has the meaning set forth in </w:t>
      </w:r>
      <w:r>
        <w:rPr>
          <w:rFonts w:ascii="Times New Roman" w:hAnsi="Times New Roman"/>
          <w:sz w:val="20"/>
          <w:u w:val="single"/>
        </w:rPr>
        <w:t>Section 4.07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none of the Affiliated Stockholders shall be deemed to be Affiliates of the Company or any Subsidiaries of the Company, (y) the Company and Subsidiaries of the Company shall not be deemed to be Affiliates of the Affiliated Stockholders, and (z) Sponsor, the Sponsor Persons, the Equity Commitment Party and their respective controlled Affiliates shall be deemed Affiliates of Parent, Intermediate and Merger Sub, in each case,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Affiliated Stockholders</w:t>
      </w:r>
      <w:r>
        <w:rPr>
          <w:rFonts w:ascii="Times New Roman" w:hAnsi="Times New Roman"/>
          <w:sz w:val="20"/>
        </w:rPr>
        <w:t xml:space="preserve">” means, collectively, Sponsor, the Sponsor Persons and each of their respective Affiliates.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U.S. Foreign Corrupt Practices Act of 1977 (as amended) and any other anti-bribery or anti-corruption Law of any jurisdiction.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all Laws relating to terrorism financing or money laundering, including the Bank Secrecy Act, 31 U.S.C. Sections 5311 et seq., as amended by the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all applicable foreign antitrust Laws and all other applicable Laws issued by a Governmental Authority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Book-Entry Share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except a Saturday, a Sunday or other day on which the SEC or the banking institutions in the City of New York, New York are authorized or required by Law or executive order to be closed.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means any collective bargaining agreement or other Contract with a labor union, trade union, works council, labor organization or other employee representative body, excluding any national, industry or similar generally applicable Contract or arrangement.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bylaws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certificate of incorporation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 Documents</w:t>
      </w:r>
      <w:r>
        <w:rPr>
          <w:rFonts w:ascii="Times New Roman" w:hAnsi="Times New Roman"/>
          <w:sz w:val="20"/>
        </w:rPr>
        <w:t xml:space="preserve">” means, collectively, the Company Charter and the Company Bylaws.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par value $1.00 per share, of the Company. </w:t>
      </w:r>
    </w:p>
    <w:p>
      <w:pPr>
        <w:pStyle w:val="TextBody"/>
        <w:bidi w:val="0"/>
        <w:spacing w:before="240" w:after="0"/>
        <w:jc w:val="left"/>
        <w:rPr/>
      </w:pPr>
      <w:r>
        <w:rPr/>
        <w:t>“</w:t>
      </w:r>
      <w:r>
        <w:rPr>
          <w:rFonts w:ascii="Times New Roman" w:hAnsi="Times New Roman"/>
          <w:sz w:val="20"/>
          <w:u w:val="single"/>
        </w:rPr>
        <w:t>Company Disclosure Letter</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Disinterested Stockholder Approval</w:t>
      </w:r>
      <w:r>
        <w:rPr>
          <w:rFonts w:ascii="Times New Roman" w:hAnsi="Times New Roman"/>
          <w:sz w:val="20"/>
        </w:rPr>
        <w:t xml:space="preserve">” means the approval of the transactions contemplated by this Agreement by the affirmative vote of a majority of the votes cast by the Disinterested Stockholders. </w:t>
      </w:r>
    </w:p>
    <w:p>
      <w:pPr>
        <w:pStyle w:val="TextBody"/>
        <w:bidi w:val="0"/>
        <w:spacing w:before="240" w:after="0"/>
        <w:jc w:val="left"/>
        <w:rPr/>
      </w:pPr>
      <w:r>
        <w:rPr/>
        <w:t>“</w:t>
      </w:r>
      <w:r>
        <w:rPr>
          <w:rFonts w:ascii="Times New Roman" w:hAnsi="Times New Roman"/>
          <w:sz w:val="20"/>
          <w:u w:val="single"/>
        </w:rPr>
        <w:t>Company Executive Deferral Plan</w:t>
      </w:r>
      <w:r>
        <w:rPr>
          <w:rFonts w:ascii="Times New Roman" w:hAnsi="Times New Roman"/>
          <w:sz w:val="20"/>
        </w:rPr>
        <w:t xml:space="preserve">” means the Lawson Products, Inc. Executive Deferral Plan as amended and restated November 1, 2015. </w:t>
      </w:r>
    </w:p>
    <w:p>
      <w:pPr>
        <w:pStyle w:val="TextBody"/>
        <w:bidi w:val="0"/>
        <w:spacing w:before="240" w:after="0"/>
        <w:jc w:val="left"/>
        <w:rPr/>
      </w:pPr>
      <w:r>
        <w:rPr/>
        <w:t>“</w:t>
      </w:r>
      <w:r>
        <w:rPr>
          <w:rFonts w:ascii="Times New Roman" w:hAnsi="Times New Roman"/>
          <w:sz w:val="20"/>
          <w:u w:val="single"/>
        </w:rPr>
        <w:t>Company Material Contract</w:t>
      </w:r>
      <w:r>
        <w:rPr>
          <w:rFonts w:ascii="Times New Roman" w:hAnsi="Times New Roman"/>
          <w:sz w:val="20"/>
        </w:rPr>
        <w:t xml:space="preserve">” has the meaning set forth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Related Parties</w:t>
      </w:r>
      <w:r>
        <w:rPr>
          <w:rFonts w:ascii="Times New Roman" w:hAnsi="Times New Roman"/>
          <w:sz w:val="20"/>
        </w:rPr>
        <w:t xml:space="preserve">” means, collectively, the Company and its Related Parties. </w:t>
      </w:r>
    </w:p>
    <w:p>
      <w:pPr>
        <w:pStyle w:val="TextBody"/>
        <w:bidi w:val="0"/>
        <w:spacing w:before="240" w:after="0"/>
        <w:jc w:val="left"/>
        <w:rPr/>
      </w:pPr>
      <w:r>
        <w:rPr/>
        <w:t>“</w:t>
      </w:r>
      <w:r>
        <w:rPr>
          <w:rFonts w:ascii="Times New Roman" w:hAnsi="Times New Roman"/>
          <w:sz w:val="20"/>
          <w:u w:val="single"/>
        </w:rPr>
        <w:t>Company Requisite Stockholder Approvals</w:t>
      </w:r>
      <w:r>
        <w:rPr>
          <w:rFonts w:ascii="Times New Roman" w:hAnsi="Times New Roman"/>
          <w:sz w:val="20"/>
        </w:rPr>
        <w:t xml:space="preserve">” means, collectively, the Company Stockholder Approval and the Company Disinterested Stockholder Approval.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SEC Documents</w:t>
      </w:r>
      <w:r>
        <w:rPr>
          <w:rFonts w:ascii="Times New Roman" w:hAnsi="Times New Roman"/>
          <w:sz w:val="20"/>
        </w:rPr>
        <w:t xml:space="preserve">” has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Customer</w:t>
      </w:r>
      <w:r>
        <w:rPr>
          <w:rFonts w:ascii="Times New Roman" w:hAnsi="Times New Roman"/>
          <w:sz w:val="20"/>
        </w:rPr>
        <w:t xml:space="preserve">” has the meaning set forth in </w:t>
      </w:r>
      <w:r>
        <w:rPr>
          <w:rFonts w:ascii="Times New Roman" w:hAnsi="Times New Roman"/>
          <w:sz w:val="20"/>
          <w:u w:val="single"/>
        </w:rPr>
        <w:t>Section 4.18(a)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Supplier</w:t>
      </w:r>
      <w:r>
        <w:rPr>
          <w:rFonts w:ascii="Times New Roman" w:hAnsi="Times New Roman"/>
          <w:sz w:val="20"/>
        </w:rPr>
        <w:t xml:space="preserve">” has the meaning set forth in </w:t>
      </w:r>
      <w:r>
        <w:rPr>
          <w:rFonts w:ascii="Times New Roman" w:hAnsi="Times New Roman"/>
          <w:sz w:val="20"/>
          <w:u w:val="single"/>
        </w:rPr>
        <w:t>Section 4.18(b)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Performance Right</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Unit</w:t>
      </w:r>
      <w:r>
        <w:rPr>
          <w:rFonts w:ascii="Times New Roman" w:hAnsi="Times New Roman"/>
          <w:sz w:val="20"/>
        </w:rPr>
        <w:t xml:space="preserve">” has the meaning set forth in </w:t>
      </w:r>
      <w:r>
        <w:rPr>
          <w:rFonts w:ascii="Times New Roman" w:hAnsi="Times New Roman"/>
          <w:sz w:val="20"/>
          <w:u w:val="single"/>
        </w:rPr>
        <w:t>Section 3.03(e)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Stockholder Approval</w:t>
      </w:r>
      <w:r>
        <w:rPr>
          <w:rFonts w:ascii="Times New Roman" w:hAnsi="Times New Roman"/>
          <w:sz w:val="20"/>
        </w:rPr>
        <w:t xml:space="preserve">” means the approval of the proposal to adopt this Agreement by the affirmative vote of the holders of a majority of the outstanding shares of Company Common Stock entitled to vote on such proposal. </w:t>
      </w:r>
    </w:p>
    <w:p>
      <w:pPr>
        <w:pStyle w:val="TextBody"/>
        <w:bidi w:val="0"/>
        <w:spacing w:before="240" w:after="0"/>
        <w:jc w:val="left"/>
        <w:rPr/>
      </w:pPr>
      <w:r>
        <w:rPr/>
        <w:t>“</w:t>
      </w:r>
      <w:r>
        <w:rPr>
          <w:rFonts w:ascii="Times New Roman" w:hAnsi="Times New Roman"/>
          <w:sz w:val="20"/>
          <w:u w:val="single"/>
        </w:rPr>
        <w:t>Company Stockholders’ Meeting</w:t>
      </w:r>
      <w:r>
        <w:rPr>
          <w:rFonts w:ascii="Times New Roman" w:hAnsi="Times New Roman"/>
          <w:sz w:val="20"/>
        </w:rPr>
        <w:t xml:space="preserve">” has the meaning set forth in </w:t>
      </w:r>
      <w:r>
        <w:rPr>
          <w:rFonts w:ascii="Times New Roman" w:hAnsi="Times New Roman"/>
          <w:sz w:val="20"/>
          <w:u w:val="single"/>
        </w:rPr>
        <w:t>Section 6.09(c)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taken as a whole, that: (a) such Required Information complies in all material respects with all requirements of Regulation S-K, Regulation S-X and Section 12(a)(2) under the Securities Act for a registered public offering of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high yield debt securities issued under Rule 144A and (ii) are sufficient to permit the Company’s independent auditors to issue customary comfort letters to the Debt Financing Sources to the extent required as part of the Debt Financing, including as to customary negative assurances and change period comfort, in order to consummate any offering of debt securities on any Business Day following the date hereof and prior to the Closing Date (and such auditors have confirmed that they are prepared to issue a comfort letter subject to their completion of customary procedures, with it being understood that such issuance of the comfort letter shall not occur until the “pricing” of such debt securities).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March 20, 2017, by and between the Company and Sponsor.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lease, sublease, license, purchase order, service order, sales order, indenture, note, bond, mortgage or other agreement, instrument or arrangement that is legally binding, in each case, whether written or oral, and including all amendments and modifications thereto.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Amendment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Financing</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Lenders</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Current Premium</w:t>
      </w:r>
      <w:r>
        <w:rPr>
          <w:rFonts w:ascii="Times New Roman" w:hAnsi="Times New Roman"/>
          <w:sz w:val="20"/>
        </w:rPr>
        <w:t xml:space="preserve">” has the meaning set forth in </w:t>
      </w:r>
      <w:r>
        <w:rPr>
          <w:rFonts w:ascii="Times New Roman" w:hAnsi="Times New Roman"/>
          <w:sz w:val="20"/>
          <w:u w:val="single"/>
        </w:rPr>
        <w:t>Section 6.06(a)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Data Processing Contract</w:t>
      </w:r>
      <w:r>
        <w:rPr>
          <w:rFonts w:ascii="Times New Roman" w:hAnsi="Times New Roman"/>
          <w:sz w:val="20"/>
        </w:rPr>
        <w:t xml:space="preserve">” means any applicable contractual obligations concerning data privacy and security relating to Personal Information in the possession or control of the Company or any of its Subsidiaries or maintained by third parties having access to such information under Contracts to which the Company or any of its Subsidiaries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Data Protection Laws</w:t>
      </w:r>
      <w:r>
        <w:rPr>
          <w:rFonts w:ascii="Times New Roman" w:hAnsi="Times New Roman"/>
          <w:sz w:val="20"/>
        </w:rPr>
        <w:t xml:space="preserve">” means all applicable Laws relating to privacy, data protection, and data security, including with respect to the collection, confidentiality, marketing, storage, transmission, transfer, cross-border data flow, processing, security, safeguarding, loss, disclosure and use of Personal Information (including Personal Information of employees, contractors, customers, and prospective customers). </w:t>
      </w:r>
    </w:p>
    <w:p>
      <w:pPr>
        <w:pStyle w:val="TextBody"/>
        <w:bidi w:val="0"/>
        <w:spacing w:before="240" w:after="0"/>
        <w:jc w:val="left"/>
        <w:rPr/>
      </w:pPr>
      <w:r>
        <w:rPr/>
        <w:t>“</w:t>
      </w:r>
      <w:r>
        <w:rPr>
          <w:rFonts w:ascii="Times New Roman" w:hAnsi="Times New Roman"/>
          <w:sz w:val="20"/>
          <w:u w:val="single"/>
        </w:rPr>
        <w:t>DE SOS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Provisions</w:t>
      </w:r>
      <w:r>
        <w:rPr>
          <w:rFonts w:ascii="Times New Roman" w:hAnsi="Times New Roman"/>
          <w:sz w:val="20"/>
        </w:rPr>
        <w:t xml:space="preserve">” means, collectively, the last sentence of Section 9.02, Section 9.03 solely to the extent relating to any pledge or collateral assignment of this Agreement to any Debt Financing Source, Section 9.05 solely to the extent granting third-party beneficiary rights to the Debt Financing Sources with respect to the Debt Financing Provisions, Section 9.06(c) and (d), and Section 9.13 solely to the extent relating to any Debt Financing Sources Related Party.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Credit Agreement Lenders and the Persons that have committed to or been engaged to provide, arrange, underwrite or place any Debt Financing, in each case in connection with the transactions contemplated by this Agreement, and any joinder agreements or credit agreements entered into pursuant thereto or relating thereto. </w:t>
      </w:r>
    </w:p>
    <w:p>
      <w:pPr>
        <w:pStyle w:val="TextBody"/>
        <w:bidi w:val="0"/>
        <w:spacing w:before="240" w:after="0"/>
        <w:jc w:val="left"/>
        <w:rPr/>
      </w:pPr>
      <w:r>
        <w:rPr/>
        <w:t>“</w:t>
      </w:r>
      <w:r>
        <w:rPr>
          <w:rFonts w:ascii="Times New Roman" w:hAnsi="Times New Roman"/>
          <w:sz w:val="20"/>
          <w:u w:val="single"/>
        </w:rPr>
        <w:t>Debt Financing Sources Related Party</w:t>
      </w:r>
      <w:r>
        <w:rPr>
          <w:rFonts w:ascii="Times New Roman" w:hAnsi="Times New Roman"/>
          <w:sz w:val="20"/>
        </w:rPr>
        <w:t xml:space="preserve">” means the Debt Financing Sources and their respective Related Parties.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Director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Disinterested Stockholders</w:t>
      </w:r>
      <w:r>
        <w:rPr>
          <w:rFonts w:ascii="Times New Roman" w:hAnsi="Times New Roman"/>
          <w:sz w:val="20"/>
        </w:rPr>
        <w:t xml:space="preserve">” means the disinterested stockholders (as such term is defined in Section 144 of the DGCL) of the Company in respect of the transactions contemplated by this Agreement,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set forth in </w:t>
      </w:r>
      <w:r>
        <w:rPr>
          <w:rFonts w:ascii="Times New Roman" w:hAnsi="Times New Roman"/>
          <w:sz w:val="20"/>
          <w:u w:val="single"/>
        </w:rPr>
        <w:t>Section 3.06(a)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w:t>
      </w:r>
      <w:r>
        <w:rPr>
          <w:rFonts w:ascii="Times New Roman" w:hAnsi="Times New Roman"/>
          <w:sz w:val="20"/>
        </w:rPr>
        <w:t xml:space="preserve">” means each of the Persons employed by the Company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Enforceability Exceptions</w:t>
      </w:r>
      <w:r>
        <w:rPr>
          <w:rFonts w:ascii="Times New Roman" w:hAnsi="Times New Roman"/>
          <w:sz w:val="20"/>
        </w:rPr>
        <w:t xml:space="preserve">” means principles of equity and bankruptcy, insolvency, reorganization, moratorium, receivership and similar Laws affecting the enforcement of creditors’ rights generally.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Law pertaining to the environment, protection of natural resources, protection of human health from environmental impacts, pollution, or the environmental aspects of the treatment, storage, recycling, transportation, disposal, arrangement for treatment, storage, recycling, transportation, or disposal, handling or Release of or exposure to any pollutants or contaminants (including worker health or safety Laws as they relate to environmental impacts or occupational exposure to contaminants). </w:t>
      </w:r>
    </w:p>
    <w:p>
      <w:pPr>
        <w:pStyle w:val="TextBody"/>
        <w:bidi w:val="0"/>
        <w:spacing w:before="240" w:after="0"/>
        <w:jc w:val="left"/>
        <w:rPr/>
      </w:pPr>
      <w:r>
        <w:rPr/>
        <w:t>“</w:t>
      </w:r>
      <w:r>
        <w:rPr>
          <w:rFonts w:ascii="Times New Roman" w:hAnsi="Times New Roman"/>
          <w:sz w:val="20"/>
          <w:u w:val="single"/>
        </w:rPr>
        <w:t>Equity Commitment Letter</w:t>
      </w:r>
      <w:r>
        <w:rPr>
          <w:rFonts w:ascii="Times New Roman" w:hAnsi="Times New Roman"/>
          <w:sz w:val="20"/>
        </w:rPr>
        <w:t>” means the executed equity commitment letter, dated as of the date hereof, from the Equity Commitment Party, including all annexes, exhibits, schedules and other attachments thereto (all as may be amended, replaced, supplemented, modified and waived in accordance with the terms hereof), pursuant to which the Equity Commitment Party has, subject only to the terms and conditions set forth therein, committed to provide equity financing to Parent for the consummation of the transactions contemplated by this Agreement in an amount set forth therein (the “</w:t>
      </w:r>
      <w:r>
        <w:rPr>
          <w:rFonts w:ascii="Times New Roman" w:hAnsi="Times New Roman"/>
          <w:sz w:val="20"/>
          <w:u w:val="single"/>
        </w:rPr>
        <w:t>Equity Financing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Commitment Party</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Financing</w:t>
      </w:r>
      <w:r>
        <w:rPr>
          <w:rFonts w:ascii="Times New Roman" w:hAnsi="Times New Roman"/>
          <w:sz w:val="20"/>
        </w:rPr>
        <w:t xml:space="preserve">” is defined in the definition of Equity Commitment Letter. </w:t>
      </w:r>
    </w:p>
    <w:p>
      <w:pPr>
        <w:pStyle w:val="TextBody"/>
        <w:bidi w:val="0"/>
        <w:spacing w:before="240" w:after="0"/>
        <w:jc w:val="left"/>
        <w:rPr/>
      </w:pPr>
      <w:r>
        <w:rPr/>
        <w:t>“</w:t>
      </w:r>
      <w:r>
        <w:rPr>
          <w:rFonts w:ascii="Times New Roman" w:hAnsi="Times New Roman"/>
          <w:sz w:val="20"/>
          <w:u w:val="single"/>
        </w:rPr>
        <w:t>Equity Plans</w:t>
      </w:r>
      <w:r>
        <w:rPr>
          <w:rFonts w:ascii="Times New Roman" w:hAnsi="Times New Roman"/>
          <w:sz w:val="20"/>
        </w:rPr>
        <w:t xml:space="preserve">” means the Lawson Products, Inc. 2009 Equity Compensation Plan as adopted and as amended and restated in 2014 and 2019, the Company Equity Compensation Plan, effective October 17, 2022, and as amended November 10, 2022, the Company 2026 Amended and Restated Equity Compensation Plan, and the Lawson Products, Inc. Amended Stock Performance Rights Plan, each as may be amended from time to time. </w:t>
      </w:r>
    </w:p>
    <w:p>
      <w:pPr>
        <w:pStyle w:val="TextBody"/>
        <w:bidi w:val="0"/>
        <w:spacing w:before="240" w:after="0"/>
        <w:jc w:val="left"/>
        <w:rPr/>
      </w:pPr>
      <w:r>
        <w:rPr/>
        <w:t>“</w:t>
      </w:r>
      <w:r>
        <w:rPr>
          <w:rFonts w:ascii="Times New Roman" w:hAnsi="Times New Roman"/>
          <w:sz w:val="20"/>
          <w:u w:val="single"/>
        </w:rPr>
        <w:t>Equity-Based Awards</w:t>
      </w:r>
      <w:r>
        <w:rPr>
          <w:rFonts w:ascii="Times New Roman" w:hAnsi="Times New Roman"/>
          <w:sz w:val="20"/>
        </w:rPr>
        <w:t xml:space="preserve">” means, collectively, Company RSUs (including Director RSUs), Company Stock Options, Company Stock Performance Rights and Company Stock Units.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that for purposes of Title I or Title IV of ERISA or Section 412 of the Code would be deemed at any relevant time to be a single employer or otherwise aggregated with the Company under Section 414(b), (c), (m) or (o) of the Code or Section 4001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 any projections of the Company’s and its Subsidiaries’ future financial results, financial position, operating results, operations or performance; (b) any pro forma financial information that results from giving pro forma effect to the consummation of any of the transactions contemplated by this Agreement, the Debt Financing and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Letter; (c) description of all or any portion of the Debt Financing, including any “description of notes”, and other information customarily provided by financing sources or their counsel; and (d) risk factors relating to all or any component of the Debt Financing or any of the other transactions contemplated by this Agreement, the Debt Financing and the Equity Commitment Letter. </w:t>
      </w:r>
    </w:p>
    <w:p>
      <w:pPr>
        <w:pStyle w:val="TextBody"/>
        <w:bidi w:val="0"/>
        <w:spacing w:before="240" w:after="0"/>
        <w:jc w:val="left"/>
        <w:rPr/>
      </w:pPr>
      <w:r>
        <w:rPr/>
        <w:t>“</w:t>
      </w:r>
      <w:r>
        <w:rPr>
          <w:rFonts w:ascii="Times New Roman" w:hAnsi="Times New Roman"/>
          <w:sz w:val="20"/>
          <w:u w:val="single"/>
        </w:rPr>
        <w:t>Excluded Shares</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Filed SEC Documents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the Debt Financing and the Equity Financing. </w:t>
      </w:r>
    </w:p>
    <w:p>
      <w:pPr>
        <w:pStyle w:val="TextBody"/>
        <w:bidi w:val="0"/>
        <w:spacing w:before="240" w:after="0"/>
        <w:jc w:val="left"/>
        <w:rPr/>
      </w:pPr>
      <w:r>
        <w:rPr/>
        <w:t>“</w:t>
      </w:r>
      <w:r>
        <w:rPr>
          <w:rFonts w:ascii="Times New Roman" w:hAnsi="Times New Roman"/>
          <w:sz w:val="20"/>
          <w:u w:val="single"/>
        </w:rPr>
        <w:t>Financing Uses</w:t>
      </w:r>
      <w:r>
        <w:rPr>
          <w:rFonts w:ascii="Times New Roman" w:hAnsi="Times New Roman"/>
          <w:sz w:val="20"/>
        </w:rPr>
        <w:t xml:space="preserve">” has the meaning set forth in </w:t>
      </w:r>
      <w:r>
        <w:rPr>
          <w:rFonts w:ascii="Times New Roman" w:hAnsi="Times New Roman"/>
          <w:sz w:val="20"/>
          <w:u w:val="single"/>
        </w:rPr>
        <w:t>Section 5.05(e)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has the meaning set forth in </w:t>
      </w:r>
      <w:r>
        <w:rPr>
          <w:rFonts w:ascii="Times New Roman" w:hAnsi="Times New Roman"/>
          <w:sz w:val="20"/>
          <w:u w:val="single"/>
        </w:rPr>
        <w:t>Section 4.15(j)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the generally accepted accounting principles in the U.S., consistently applied.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U.S., state, local or foreign governmental, legislative, regulatory or administrative body, agency or authority, any court or judicial authority or arbitration tribunal, whether national, Federal, state or local or otherwise, or any Person lawfully empowered by any of the foregoing to enforce or seek compliance with any applicable Law. </w:t>
      </w:r>
    </w:p>
    <w:p>
      <w:pPr>
        <w:pStyle w:val="TextBody"/>
        <w:bidi w:val="0"/>
        <w:spacing w:before="240" w:after="0"/>
        <w:jc w:val="left"/>
        <w:rPr/>
      </w:pPr>
      <w:r>
        <w:rPr/>
        <w:t>“</w:t>
      </w:r>
      <w:r>
        <w:rPr>
          <w:rFonts w:ascii="Times New Roman" w:hAnsi="Times New Roman"/>
          <w:sz w:val="20"/>
          <w:u w:val="single"/>
        </w:rPr>
        <w:t>Governmental Order</w:t>
      </w:r>
      <w:r>
        <w:rPr>
          <w:rFonts w:ascii="Times New Roman" w:hAnsi="Times New Roman"/>
          <w:sz w:val="20"/>
        </w:rPr>
        <w:t xml:space="preserve">” means any order, judgment, injunction, decree, writ, stipulation, determination, decision, ruling or award, in each case, entered by, with or under the supervision of any Governmental Authority.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material, chemical, substance, pollutant, contaminant or waste that is regulated or subject to standards of conduct, or that may give rise to Liability, under any Environmental Law, including (a) petroleum or any fraction thereof, (b) oil of any kind or in any form, (c) radiation and radioactive materials, (d) asbestos in any form, (e) polychlorinated biphenyls and (f) perfluoroalkyl and polyfluoroalkyl substances.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has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Incidental License</w:t>
      </w:r>
      <w:r>
        <w:rPr>
          <w:rFonts w:ascii="Times New Roman" w:hAnsi="Times New Roman"/>
          <w:sz w:val="20"/>
        </w:rPr>
        <w:t xml:space="preserve">” means any (a) non-exclusive license, software-as-a-service agreement or other Contract for “shrink-wrap,” “click-through” or other “off-the-shelf” Software owned by a Third Party that is generally available on standard commercial terms, (b) license for Open Source Software owned by a Third Party, (c) confidentiality, secrecy or non-disclosure agreement entered into in the ordinary course of business, (d) Contract for the purchase or lease of computer hardware or equipment such as photocopiers or telephones where Software is pre-installed or embedded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hardware or equipment, (e) non-exclusive trademark license granted by a supplier of products or services to a distributor or other customer thereof solely to enable the distributor or other customer to identify the supplier’s products or services, or (f) non-exclusive license granted by a Person to a contractor to such Person solely to enable the contractor to provide services to such Person.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has the meaning set forth in </w:t>
      </w:r>
      <w:r>
        <w:rPr>
          <w:rFonts w:ascii="Times New Roman" w:hAnsi="Times New Roman"/>
          <w:sz w:val="20"/>
          <w:u w:val="single"/>
        </w:rPr>
        <w:t>Section 6.01(a)(viii)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6.06(b)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Insurance Policy</w:t>
      </w:r>
      <w:r>
        <w:rPr>
          <w:rFonts w:ascii="Times New Roman" w:hAnsi="Times New Roman"/>
          <w:sz w:val="20"/>
        </w:rPr>
        <w:t xml:space="preserve">” has the meaning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 all patents and patent applications (including all reissues, divisionals, provisionals, continuations and continuations-in-part, re-examinations, renewals, substitutions and extensions thereof), patent applications and patent disclosures, (b) all trademarks, service marks, trade dress, logos, trade names, corporate names, domain names and social media “handles” and other identifiers, and all applications, registrations and renewals in connection therewith and all associated goodwill, (c) all copyrights and associated moral rights/author’s rights, and all applications, registrations and renewals in connection therewith, (d) all Trade Secrets and (e) all Software. </w:t>
      </w:r>
    </w:p>
    <w:p>
      <w:pPr>
        <w:pStyle w:val="TextBody"/>
        <w:bidi w:val="0"/>
        <w:spacing w:before="240" w:after="0"/>
        <w:jc w:val="left"/>
        <w:rPr/>
      </w:pPr>
      <w:r>
        <w:rPr/>
        <w:t>“</w:t>
      </w:r>
      <w:r>
        <w:rPr>
          <w:rFonts w:ascii="Times New Roman" w:hAnsi="Times New Roman"/>
          <w:sz w:val="20"/>
          <w:u w:val="single"/>
        </w:rPr>
        <w:t>Intermediate</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customs and import controls, economic or financial sanctions, trade embargoes, or export controls restrictions, including Laws relating to the export or transfer of items, technology, or data, imposed, administered or enforced from time to time by (a) the U.S. government, including those administered by the U.S. Department of Homeland Security, Office of Foreign Assets Control of the U.S. Department of the Treasury, the U.S. Department of Commerce, or the U.S. Department of State, including the Export Administration Regulations and ITAR, or (b) the United Nations Security Council, His Majesty’s Treasury, the European Union or any of its member states, or other relevant Governmental Authority.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has the meaning set forth in </w:t>
      </w:r>
      <w:r>
        <w:rPr>
          <w:rFonts w:ascii="Times New Roman" w:hAnsi="Times New Roman"/>
          <w:sz w:val="20"/>
          <w:u w:val="single"/>
        </w:rPr>
        <w:t>Section 6.02(b)(iv)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any and all computers, Software, hardware, systems, servers, workstations, routers, hubs, switches, data communications lines and other information technology equipment used by a Person, and all associated documentation. </w:t>
      </w:r>
    </w:p>
    <w:p>
      <w:pPr>
        <w:pStyle w:val="TextBody"/>
        <w:bidi w:val="0"/>
        <w:spacing w:before="240" w:after="0"/>
        <w:jc w:val="left"/>
        <w:rPr/>
      </w:pPr>
      <w:r>
        <w:rPr/>
        <w:t>“</w:t>
      </w:r>
      <w:r>
        <w:rPr>
          <w:rFonts w:ascii="Times New Roman" w:hAnsi="Times New Roman"/>
          <w:sz w:val="20"/>
          <w:u w:val="single"/>
        </w:rPr>
        <w:t>ITAR</w:t>
      </w:r>
      <w:r>
        <w:rPr>
          <w:rFonts w:ascii="Times New Roman" w:hAnsi="Times New Roman"/>
          <w:sz w:val="20"/>
        </w:rPr>
        <w:t xml:space="preserve">” means the International Traffic in Arms Regulations, 22 C.F.R. parts 120–130.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(a) with respect to the Company, the actual knowledge of the individuals listed on Section 1.1 of the Company Disclosure Letter and (b) with respect to Parent, Intermediate or Merger Sub, the actual knowledge of the individuals listed on Section 1.1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Laws</w:t>
      </w:r>
      <w:r>
        <w:rPr>
          <w:rFonts w:ascii="Times New Roman" w:hAnsi="Times New Roman"/>
          <w:sz w:val="20"/>
        </w:rPr>
        <w:t xml:space="preserve">” means any federal, state, local or non-United States law, statute, regulation, rule, ordinance, judgment, order, injunction or decree of any Governmental Authority, including treaties and conventions and the common law.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liabilities or obligations of any nature whatsoever (whether known or unknown, whether asserted or unasserted, whether absolute or contingent, whether accrued or unaccrued, whether liquidated or unliquidated, and whether due or to become due).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all liens (statutory or other), encumbrances, mortgages, charges, claims, restrictions, pledges, security interests, title defects, easements, rights of way, covenants, community property interests, encroachments, options and rights of first refusal. </w:t>
      </w:r>
    </w:p>
    <w:p>
      <w:pPr>
        <w:pStyle w:val="TextBody"/>
        <w:bidi w:val="0"/>
        <w:spacing w:before="240" w:after="0"/>
        <w:jc w:val="left"/>
        <w:rPr/>
      </w:pPr>
      <w:r>
        <w:rPr/>
        <w:t>“</w:t>
      </w:r>
      <w:r>
        <w:rPr>
          <w:rFonts w:ascii="Times New Roman" w:hAnsi="Times New Roman"/>
          <w:sz w:val="20"/>
          <w:u w:val="single"/>
        </w:rPr>
        <w:t>Limited Guarantee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Match Right Notice</w:t>
      </w:r>
      <w:r>
        <w:rPr>
          <w:rFonts w:ascii="Times New Roman" w:hAnsi="Times New Roman"/>
          <w:sz w:val="20"/>
        </w:rPr>
        <w:t xml:space="preserve">” has the meaning set forth in </w:t>
      </w:r>
      <w:r>
        <w:rPr>
          <w:rFonts w:ascii="Times New Roman" w:hAnsi="Times New Roman"/>
          <w:sz w:val="20"/>
          <w:u w:val="single"/>
        </w:rPr>
        <w:t>Section 6.02(h)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any change, effect, event, circumstance, occurrence or fact that, individually or in the aggregate, (a) has had or would reasonably be expected to have a material adverse effect on the business, condition (financial or otherwise),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following, and no change, effect, event, circumstance, occurrence or fact resulting from or arising out of any of the following, shall either alone or in combination constitute, or be taken into account in determining whether there has been, a Material Adverse Effect for purposes of this </w:t>
      </w:r>
      <w:r>
        <w:rPr>
          <w:rFonts w:ascii="Times New Roman" w:hAnsi="Times New Roman"/>
          <w:sz w:val="20"/>
          <w:u w:val="single"/>
        </w:rPr>
        <w:t>clause (a)</w:t>
      </w:r>
      <w:r>
        <w:rPr>
          <w:rFonts w:ascii="Times New Roman" w:hAnsi="Times New Roman"/>
          <w:sz w:val="20"/>
        </w:rPr>
        <w:t xml:space="preserve">: (i) general economic, regulatory, financial, banking, credit, debt, capital markets, legislative or political conditions in the U.S. or elsewhere in the world or any shutdown or material limiting of U.S. or foreign federal, state or local government services; (ii) changes in conditions affecting the industry in which the Company and its Subsidiaries operate; (iii) any outbreak or escalation of hostilities, acts of war, sabotage, military action or terrorism (including cyber-terrorism), or any national or international calamity or geopolitical event in the U.S. or elsewhere in the world; (iv) the announcement, execution or pendency of this Agreement or the transactions contemplated hereby, including the impact thereof on relationships with customers, suppliers, employees, financing sources or Governmental Authorities, or any litigation arising therefrom; (v) the occurrence of any natural disaster, including any hurricane, tornado, pandemic, flood, volcano or earthquake; (vi) any change in applicable Law, regulation or GAAP (or the interpretation or enforcement thereof); (vii) any failure by the Company to meet any internal or published projections, forecasts, estimates, budgets or predictions of revenue, earnings or other financial or operating metrics, or any decline in the market price or trading volume of the Company’s securities or any change in the Company’s credit ratings or any analyst’s recommendations regarding the Company (it being understood that the underlying facts giving rise to or contributing to such failure, decline or change may be taken into account in determining whether there has been a Material Adverse Effect to the extent not otherwise excluded from this definition); (viii)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expressly required by this Agreement to be taken by the Company, or any action taken with the prior written consent or at the written request of Parent; or (ix) any Stockholder Litigation or other proceeding brought in connection with this Agreement or the transactions contemplated hereby, including any breach of fiduciary duty or inadequate disclosure claims, except in the cases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to the extent such changes, effects, events, circumstances, occurrences, developments or facts disproportionately adversely affect the Company and its Subsidiaries, taken as a whole, relative to other similarly situated companies operating in the industries in which the Company and its Subsidiaries operate (in which case only such incremental disproportionate adverse effect may be taken into account), or (b) would or would reasonably be expected to prevent, materially impede or materially delay the Company from consummating any of the transactions contemplated by this Agreement or the ability of the Company to perform its material obligations under this Agreement. </w:t>
      </w:r>
    </w:p>
    <w:p>
      <w:pPr>
        <w:pStyle w:val="TextBody"/>
        <w:bidi w:val="0"/>
        <w:spacing w:before="240" w:after="0"/>
        <w:jc w:val="left"/>
        <w:rPr/>
      </w:pPr>
      <w:r>
        <w:rPr/>
        <w:t>“</w:t>
      </w:r>
      <w:r>
        <w:rPr>
          <w:rFonts w:ascii="Times New Roman" w:hAnsi="Times New Roman"/>
          <w:sz w:val="20"/>
          <w:u w:val="single"/>
        </w:rPr>
        <w:t>Measurement Time</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 Stockholder Approval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Specified Contract</w:t>
      </w:r>
      <w:r>
        <w:rPr>
          <w:rFonts w:ascii="Times New Roman" w:hAnsi="Times New Roman"/>
          <w:sz w:val="20"/>
        </w:rPr>
        <w:t xml:space="preserve">” has the meaning set forth in </w:t>
      </w:r>
      <w:r>
        <w:rPr>
          <w:rFonts w:ascii="Times New Roman" w:hAnsi="Times New Roman"/>
          <w:sz w:val="20"/>
          <w:u w:val="single"/>
        </w:rPr>
        <w:t>Section 6.01(a)(xvi)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Non-DTC Book-Entry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under a license that requires, as a condition of use, modification or distribution of such Software, that such Software be (a) made available or distributed in a form other than binary, (b) licensed for the purpose of preparing derivative works, (c) licensed under terms that allow any products or services or interfaces therefor to be reverse engineered, reverse assembled or disassembled (other than by operation of Law) or (d) distributable at no license fee, including any license meeting the Open Source Definition (as promulgated by the Open Source Initiative) or the Free Software Definition (as promulgated by the Free Software Foundation).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Owned Real Property</w:t>
      </w:r>
      <w:r>
        <w:rPr>
          <w:rFonts w:ascii="Times New Roman" w:hAnsi="Times New Roman"/>
          <w:sz w:val="20"/>
        </w:rPr>
        <w:t xml:space="preserve">” means the real property owned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Letter</w:t>
      </w:r>
      <w:r>
        <w:rPr>
          <w:rFonts w:ascii="Times New Roman" w:hAnsi="Times New Roman"/>
          <w:sz w:val="20"/>
        </w:rPr>
        <w:t xml:space="preserve">” means the confidential disclosure letter delivered by Parent to the Company concurrently with or prior to the execution of this Agreement.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change, effect, event, circumstance, occurrence or fact that, individually or in the aggregate, has had or would reasonably be expected to prevent, materially impede or materially delay Parent, Intermediate, or Merger Sub from consummating the transactions contemplated by this Agreement in accordance with the terms hereof or the ability of Parent, Intermediate, or Merger Sub to perform its obligations under this Agreement. </w:t>
      </w:r>
    </w:p>
    <w:p>
      <w:pPr>
        <w:pStyle w:val="TextBody"/>
        <w:bidi w:val="0"/>
        <w:spacing w:before="240" w:after="0"/>
        <w:jc w:val="left"/>
        <w:rPr/>
      </w:pPr>
      <w:r>
        <w:rPr/>
        <w:t>“</w:t>
      </w:r>
      <w:r>
        <w:rPr>
          <w:rFonts w:ascii="Times New Roman" w:hAnsi="Times New Roman"/>
          <w:sz w:val="20"/>
          <w:u w:val="single"/>
        </w:rPr>
        <w:t>Parent Related Parties</w:t>
      </w:r>
      <w:r>
        <w:rPr>
          <w:rFonts w:ascii="Times New Roman" w:hAnsi="Times New Roman"/>
          <w:sz w:val="20"/>
        </w:rPr>
        <w:t xml:space="preserve">” means, collectively, Parent, Intermediate, Merger Sub and their respective Related Parties.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has the meaning set forth in </w:t>
      </w:r>
      <w:r>
        <w:rPr>
          <w:rFonts w:ascii="Times New Roman" w:hAnsi="Times New Roman"/>
          <w:sz w:val="20"/>
          <w:u w:val="single"/>
        </w:rPr>
        <w:t>Section 4.08(a)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for Taxes, assessments and other governmental charges and levies that are not yet due and payable as of the Closing Date or that are being contested in good faith by appropriate proceedings and for which adequate reserves have been established on the Company’s financial statements, to the extent required by GAAP, (b) Liens imposed by Law, such as materialmen’s, mechanics’, landlords’, carriers’, workmen’s and repairmen’s Liens and other similar Liens arising in the ordinary course of business, (c) Liens arising under worker’s compensation, unemployment insurance, social security, retirement or similar legislation or to secure public or statutory obligations, (d) easements, covenants, conditions, or reservations of, or rights of others for, licenses, rights-of-way, sewers, electric lines, telegraph and telephone lines, encroachments, or other encumbrances of record, that individually or in the aggregate, would not reasonably be expected to interfere in any material respect with the use, occupancy or operation of the real property affected thereby, (e) all applicable zoning, building codes, entitlement, conservation restrictions, or other restrictions as to the use or occupancy of the affected real property, including any land use and environmental regulations imposed by Law, which are not violated in any material respect by the use of the applicable real property or the operation of the business of the Company or its Subsidiaries, (f) survey exceptions shown on a current accurate survey that individually or in the aggregate, would not reasonably be expected to interfere in any material respect with the use, occupancy, value or operation of the real property shown thereon, (g) Liens which shall be removed prior to or at the Closing, (h) purchase money Liens and Liens securing rental payments under capital lease arrangements or equipment leases, (i) Liens of lessors and licensors arising under lease agreements or license arrangements, (j) any restriction on transfer arising under any applicable securities Laws, (k) Liens securing judgments for the payment of money so long as such Liens are adequately bonded and any appropriate legal proceedings that may have been duly initiated for the review of such judgment have not been finally terminated or the period with which such proceedings may be initiated has not expired, (l) Liens granted to any lender in connection with any financing by Parent, Intermediate, Merger Sub, the Company or any of its Subsidiaries of the transactions contemplated hereby or (m) Liens securing the Secured Obligations (as defined in the Credit Agreement) pursuant to the terms and conditions of the Credit Agreement or any other Loan Document (as defined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limited liability company, partnership, joint venture, association, trust, unincorporated organization or any other entity, including a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(a) identifies, relates to, describes, is reasonably capable of being associated with or could reasonably be linked, directly or indirectly, with a particular individual or (b) is defined as “personal data”, “personal information”, “personally identifiable information”, or any analogous terms under Data Protection Laws. </w:t>
      </w:r>
    </w:p>
    <w:p>
      <w:pPr>
        <w:pStyle w:val="TextBody"/>
        <w:bidi w:val="0"/>
        <w:spacing w:before="240" w:after="0"/>
        <w:jc w:val="left"/>
        <w:rPr/>
      </w:pPr>
      <w:r>
        <w:rPr/>
        <w:t>“</w:t>
      </w:r>
      <w:r>
        <w:rPr>
          <w:rFonts w:ascii="Times New Roman" w:hAnsi="Times New Roman"/>
          <w:sz w:val="20"/>
          <w:u w:val="single"/>
        </w:rPr>
        <w:t>Privacy and Data Security Policies</w:t>
      </w:r>
      <w:r>
        <w:rPr>
          <w:rFonts w:ascii="Times New Roman" w:hAnsi="Times New Roman"/>
          <w:sz w:val="20"/>
        </w:rPr>
        <w:t xml:space="preserve">” has the meaning set forth in </w:t>
      </w:r>
      <w:r>
        <w:rPr>
          <w:rFonts w:ascii="Times New Roman" w:hAnsi="Times New Roman"/>
          <w:sz w:val="20"/>
          <w:u w:val="single"/>
        </w:rPr>
        <w:t>Section 4.17(a)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Changed Terms</w:t>
      </w:r>
      <w:r>
        <w:rPr>
          <w:rFonts w:ascii="Times New Roman" w:hAnsi="Times New Roman"/>
          <w:sz w:val="20"/>
        </w:rPr>
        <w:t xml:space="preserve">” has the meaning set forth in </w:t>
      </w:r>
      <w:r>
        <w:rPr>
          <w:rFonts w:ascii="Times New Roman" w:hAnsi="Times New Roman"/>
          <w:sz w:val="20"/>
          <w:u w:val="single"/>
        </w:rPr>
        <w:t>Section 6.02(h)(ii)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Real Property Leases</w:t>
      </w:r>
      <w:r>
        <w:rPr>
          <w:rFonts w:ascii="Times New Roman" w:hAnsi="Times New Roman"/>
          <w:sz w:val="20"/>
        </w:rPr>
        <w:t xml:space="preserve">” means the leases, licenses, subleases and other occupancy agreements in respect of the real property which the Company or any Subsidiary holds a lease, sublease, license, or any other right of occupancy as of the date hereof (together with all amendments, extensions, renewals, guaranties, schedules, waivers or changes thereto). </w:t>
      </w:r>
    </w:p>
    <w:p>
      <w:pPr>
        <w:pStyle w:val="TextBody"/>
        <w:bidi w:val="0"/>
        <w:spacing w:before="240" w:after="0"/>
        <w:jc w:val="left"/>
        <w:rPr/>
      </w:pPr>
      <w:r>
        <w:rPr/>
        <w:t>“</w:t>
      </w:r>
      <w:r>
        <w:rPr>
          <w:rFonts w:ascii="Times New Roman" w:hAnsi="Times New Roman"/>
          <w:sz w:val="20"/>
          <w:u w:val="single"/>
        </w:rPr>
        <w:t>Related Party</w:t>
      </w:r>
      <w:r>
        <w:rPr>
          <w:rFonts w:ascii="Times New Roman" w:hAnsi="Times New Roman"/>
          <w:sz w:val="20"/>
        </w:rPr>
        <w:t xml:space="preserve">” means, with respect to any Person, any of such Person’s respective former, current and future Affiliates and any of such Person’s and such Affiliates’ respective former, current and future direct or indirect officers, directors, employees, Affiliates, equityholders, managers, members, directors, partners, agents, attorneys, advisors, financing sources or other Representatives or any of the foregoing’s respective successors and assigns. </w:t>
      </w:r>
    </w:p>
    <w:p>
      <w:pPr>
        <w:pStyle w:val="TextBody"/>
        <w:bidi w:val="0"/>
        <w:spacing w:before="240" w:after="0"/>
        <w:jc w:val="left"/>
        <w:rPr/>
      </w:pPr>
      <w:r>
        <w:rPr/>
        <w:t>“</w:t>
      </w:r>
      <w:r>
        <w:rPr>
          <w:rFonts w:ascii="Times New Roman" w:hAnsi="Times New Roman"/>
          <w:sz w:val="20"/>
          <w:u w:val="single"/>
        </w:rPr>
        <w:t>Related Party Agreement</w:t>
      </w:r>
      <w:r>
        <w:rPr>
          <w:rFonts w:ascii="Times New Roman" w:hAnsi="Times New Roman"/>
          <w:sz w:val="20"/>
        </w:rPr>
        <w:t xml:space="preserve">” has the meaning set forth in </w:t>
      </w:r>
      <w:r>
        <w:rPr>
          <w:rFonts w:ascii="Times New Roman" w:hAnsi="Times New Roman"/>
          <w:sz w:val="20"/>
          <w:u w:val="single"/>
        </w:rPr>
        <w:t>Section 4.13(a)(ix)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spilling, leaking, pumping, pouring, emitting, emptying, discharging, injecting, escaping, leaching, dumping, or disposing into the indoor or outdoor environment.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its officers, directors, employees, consultants, agents, financial advisors, investment bankers, attorneys, accountants, advisors, Affiliates and other representatives.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(a) all information included in the reports and other documents the Company files with the SEC under the Exchange Act and (b) such other historical and customary information regarding the Company and its Subsidiaries that is reasonably available to the Company from its books and records and prepared or maintained by the Company in the ordinary course of business (i) requested in writing by Parent or Intermediate or Debt Financing Sources to the extent that such information is reasonably necessary or customarily advisable in connection with the Debt Financing, of the type customarily included in an investor presentation or an offering memorandum for an offering of high-yield debt securities issued pursuant to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144A as contemplated by any Debt Financing, or (ii) that is reasonably necessary in order for the Company’s independent auditors (and any other auditor to the extent that financial statements audited or reviewed by such auditors are or would be included in such offering memorandum) to deliver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(it being understood that auditor comfort letters, consents and drafts thereof shall not constitute Required Information and shall be addressed solely by Section 6.10(a)). Notwithstanding anything herein to the contrary, the Required Information shall not include any Excluded Information. </w:t>
      </w:r>
    </w:p>
    <w:p>
      <w:pPr>
        <w:pStyle w:val="TextBody"/>
        <w:bidi w:val="0"/>
        <w:spacing w:before="240" w:after="0"/>
        <w:jc w:val="left"/>
        <w:rPr/>
      </w:pPr>
      <w:r>
        <w:rPr/>
        <w:t>“</w:t>
      </w:r>
      <w:r>
        <w:rPr>
          <w:rFonts w:ascii="Times New Roman" w:hAnsi="Times New Roman"/>
          <w:sz w:val="20"/>
          <w:u w:val="single"/>
        </w:rPr>
        <w:t>Restraints</w:t>
      </w:r>
      <w:r>
        <w:rPr>
          <w:rFonts w:ascii="Times New Roman" w:hAnsi="Times New Roman"/>
          <w:sz w:val="20"/>
        </w:rPr>
        <w:t xml:space="preserve">” has the meaning set forth in </w:t>
      </w:r>
      <w:r>
        <w:rPr>
          <w:rFonts w:ascii="Times New Roman" w:hAnsi="Times New Roman"/>
          <w:sz w:val="20"/>
          <w:u w:val="single"/>
        </w:rPr>
        <w:t>Section 7.01(a)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Reverse Termination Fee</w:t>
      </w:r>
      <w:r>
        <w:rPr>
          <w:rFonts w:ascii="Times New Roman" w:hAnsi="Times New Roman"/>
          <w:sz w:val="20"/>
        </w:rPr>
        <w:t xml:space="preserve">” means an amount equal to $22,234,650. </w:t>
      </w:r>
    </w:p>
    <w:p>
      <w:pPr>
        <w:pStyle w:val="TextBody"/>
        <w:bidi w:val="0"/>
        <w:spacing w:before="240" w:after="0"/>
        <w:jc w:val="left"/>
        <w:rPr/>
      </w:pPr>
      <w:r>
        <w:rPr/>
        <w:t>“</w:t>
      </w:r>
      <w:r>
        <w:rPr>
          <w:rFonts w:ascii="Times New Roman" w:hAnsi="Times New Roman"/>
          <w:sz w:val="20"/>
          <w:u w:val="single"/>
        </w:rPr>
        <w:t>Risk Factors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at any time, a country, region or territory that is or whose government is the subject or target of country-wide sanctions (as of the date hereof, the Crimea region of Ukraine, Cuba, Iran, North Korea, the so-called Donetsk People’s Republic, and the so-called Luhansk People’s Republic and Syria).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relevant Governmental Authority, (b) any Person located, operating, organized or resident in a Sanctioned Jurisdiction, or (c) any Person owned or controlled by any such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(including for purposes of defining a Sanctioned Person, as ownership and control may be defined and/or established in and/or by any applicable Laws). </w:t>
      </w:r>
    </w:p>
    <w:p>
      <w:pPr>
        <w:pStyle w:val="TextBody"/>
        <w:bidi w:val="0"/>
        <w:spacing w:before="240" w:after="0"/>
        <w:jc w:val="left"/>
        <w:rPr/>
      </w:pPr>
      <w:r>
        <w:rPr/>
        <w:t>“</w:t>
      </w:r>
      <w:r>
        <w:rPr>
          <w:rFonts w:ascii="Times New Roman" w:hAnsi="Times New Roman"/>
          <w:sz w:val="20"/>
          <w:u w:val="single"/>
        </w:rPr>
        <w:t>Schedule 13E-3</w:t>
      </w:r>
      <w:r>
        <w:rPr>
          <w:rFonts w:ascii="Times New Roman" w:hAnsi="Times New Roman"/>
          <w:sz w:val="20"/>
        </w:rPr>
        <w:t xml:space="preserve">” has the meaning set forth in </w:t>
      </w:r>
      <w:r>
        <w:rPr>
          <w:rFonts w:ascii="Times New Roman" w:hAnsi="Times New Roman"/>
          <w:sz w:val="20"/>
          <w:u w:val="single"/>
        </w:rPr>
        <w:t>Section 6.09(a)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material misuse, compromise or unauthorized access, encryption, destruction, loss, alteration, acquisition or disclosure of any Personal Information or confidential information. </w:t>
      </w:r>
    </w:p>
    <w:p>
      <w:pPr>
        <w:pStyle w:val="TextBody"/>
        <w:bidi w:val="0"/>
        <w:spacing w:before="240" w:after="0"/>
        <w:jc w:val="left"/>
        <w:rPr/>
      </w:pPr>
      <w:r>
        <w:rPr/>
        <w:t>“</w:t>
      </w:r>
      <w:r>
        <w:rPr>
          <w:rFonts w:ascii="Times New Roman" w:hAnsi="Times New Roman"/>
          <w:sz w:val="20"/>
          <w:u w:val="single"/>
        </w:rPr>
        <w:t>Share Certificate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 all computer programs, whether in source code, object code, firmware or other form, including application programming interfaces, (b) design, development and testing elements and tools, including architecture, schematics, emulation and simulation reports, test vectors and hardware development tools, (c) databases and other compilations of data or information, including data files, test data and training data, whether machine readable or otherwise and (d) documentation, including user manuals, maintenance manuals and training materials, related to any of the foregoing.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when used with respect to any Person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not have unreasonably small capital with which to conduct the businesses in which they are engaged as such businesses are now conducted and (d) such Person and its Subsidiaries on a consolidated basis will be able to pay their debts and liabilities, direct, subordinated, contingent or otherwise, as such debts and liabilities become absolute and matured. </w:t>
      </w:r>
    </w:p>
    <w:p>
      <w:pPr>
        <w:pStyle w:val="TextBody"/>
        <w:bidi w:val="0"/>
        <w:spacing w:before="240" w:after="0"/>
        <w:jc w:val="left"/>
        <w:rPr/>
      </w:pPr>
      <w:r>
        <w:rPr/>
        <w:t>“</w:t>
      </w:r>
      <w:r>
        <w:rPr>
          <w:rFonts w:ascii="Times New Roman" w:hAnsi="Times New Roman"/>
          <w:sz w:val="20"/>
          <w:u w:val="single"/>
        </w:rPr>
        <w:t>Special Committee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Committee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Sponsor</w:t>
      </w:r>
      <w:r>
        <w:rPr>
          <w:rFonts w:ascii="Times New Roman" w:hAnsi="Times New Roman"/>
          <w:sz w:val="20"/>
        </w:rPr>
        <w:t xml:space="preserve">” means Luther King Capital Management Corporation. </w:t>
      </w:r>
    </w:p>
    <w:p>
      <w:pPr>
        <w:pStyle w:val="TextBody"/>
        <w:bidi w:val="0"/>
        <w:spacing w:before="240" w:after="0"/>
        <w:jc w:val="left"/>
        <w:rPr/>
      </w:pPr>
      <w:r>
        <w:rPr/>
        <w:t>“</w:t>
      </w:r>
      <w:r>
        <w:rPr>
          <w:rFonts w:ascii="Times New Roman" w:hAnsi="Times New Roman"/>
          <w:sz w:val="20"/>
          <w:u w:val="single"/>
        </w:rPr>
        <w:t>Sponsor Persons</w:t>
      </w:r>
      <w:r>
        <w:rPr>
          <w:rFonts w:ascii="Times New Roman" w:hAnsi="Times New Roman"/>
          <w:sz w:val="20"/>
        </w:rPr>
        <w:t xml:space="preserve">” means, collectively, LKCM Headwater Investments II, L.P., LKCM Headwater Investments IV, L.P., LKCM Private Discipline Master Fund, SPC PDLP Lawson, LLC, LKCM Investment Partnership, L.P., LKCM Micro-Cap Partnership, L.P., LKCM Core Discipline, L.P., 301 HW Opus Investors, LLC, LKCM TE Investors, LLC, Headwater Lawson Investors, LLC, and J. Bryan King. </w:t>
      </w:r>
    </w:p>
    <w:p>
      <w:pPr>
        <w:pStyle w:val="TextBody"/>
        <w:bidi w:val="0"/>
        <w:spacing w:before="240" w:after="0"/>
        <w:jc w:val="left"/>
        <w:rPr/>
      </w:pPr>
      <w:r>
        <w:rPr/>
        <w:t>“</w:t>
      </w:r>
      <w:r>
        <w:rPr>
          <w:rFonts w:ascii="Times New Roman" w:hAnsi="Times New Roman"/>
          <w:sz w:val="20"/>
          <w:u w:val="single"/>
        </w:rPr>
        <w:t>Stockholder Litigation</w:t>
      </w:r>
      <w:r>
        <w:rPr>
          <w:rFonts w:ascii="Times New Roman" w:hAnsi="Times New Roman"/>
          <w:sz w:val="20"/>
        </w:rPr>
        <w:t xml:space="preserve">” has the meaning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any corporation, limited liability company, partnership, association, trust or other entity of which securities or other ownership interests representing more than 50% of the ordinary voting power (or, in the case of a partnership, more than 50% of the general partnership interests) are, as of such date, owned by such Person or one or more Subsidiaries of such Person or by such Person and one or more Subsidiaries of such Person or (b) of which such Person or one of its Subsidiaries is a general partner or managing member;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and the Subsidiaries of the Company shall not be deemed to be Subsidiaries of the Affiliated Stockholders.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has the meaning set forth in </w:t>
      </w:r>
      <w:r>
        <w:rPr>
          <w:rFonts w:ascii="Times New Roman" w:hAnsi="Times New Roman"/>
          <w:sz w:val="20"/>
          <w:u w:val="single"/>
        </w:rPr>
        <w:t>Section 6.02(b)(iii)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Law</w:t>
      </w:r>
      <w:r>
        <w:rPr>
          <w:rFonts w:ascii="Times New Roman" w:hAnsi="Times New Roman"/>
          <w:sz w:val="20"/>
        </w:rPr>
        <w:t xml:space="preserve">” has the meaning set forth in </w:t>
      </w:r>
      <w:r>
        <w:rPr>
          <w:rFonts w:ascii="Times New Roman" w:hAnsi="Times New Roman"/>
          <w:sz w:val="20"/>
          <w:u w:val="single"/>
        </w:rPr>
        <w:t>Section 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Proposal</w:t>
      </w:r>
      <w:r>
        <w:rPr>
          <w:rFonts w:ascii="Times New Roman" w:hAnsi="Times New Roman"/>
          <w:sz w:val="20"/>
        </w:rPr>
        <w:t xml:space="preserve">” has the meaning set forth in </w:t>
      </w:r>
      <w:r>
        <w:rPr>
          <w:rFonts w:ascii="Times New Roman" w:hAnsi="Times New Roman"/>
          <w:sz w:val="20"/>
          <w:u w:val="single"/>
        </w:rPr>
        <w:t>Section 6.02(b)(i)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any reports, returns, information returns, filings, or claims for refund filed or required to be filed with a Governmental Authority in connection with Taxes, including any schedules or attachments thereto, and any amendments to any of the foregoing. </w:t>
      </w:r>
    </w:p>
    <w:p>
      <w:pPr>
        <w:pStyle w:val="TextBody"/>
        <w:bidi w:val="0"/>
        <w:spacing w:before="240" w:after="0"/>
        <w:jc w:val="left"/>
        <w:rPr/>
      </w:pPr>
      <w:r>
        <w:rPr/>
        <w:t>“</w:t>
      </w:r>
      <w:r>
        <w:rPr>
          <w:rFonts w:ascii="Times New Roman" w:hAnsi="Times New Roman"/>
          <w:sz w:val="20"/>
          <w:u w:val="single"/>
        </w:rPr>
        <w:t>Tax Sharing Agreements</w:t>
      </w:r>
      <w:r>
        <w:rPr>
          <w:rFonts w:ascii="Times New Roman" w:hAnsi="Times New Roman"/>
          <w:sz w:val="20"/>
        </w:rPr>
        <w:t xml:space="preserve">” means any and all existing written agreements or arrangements binding the Company or any of its Subsidiaries that provide for the allocation, apportionment, sharing or assignment of any Tax liability or benefit (excluding any indemnity, sharing or similar agreements or arrangements where the inclusion of a Tax indemnification or allocation provision is customary or incidental and the primary nature of such agreement is not Tax sharing or indemnification).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U.S. federal, state, local, and non-U.S. taxes, imposts, levies, withholdings or other like assessments or charges, in each case, in the nature of a tax (including taxes based upon or measured by gross receipts, income, profits, sales, use or occupation and value added, ad valorem, transfer, franchise, withholding, payroll, employment and unemployment, excise and property taxes, net proceeds, turnover, real or personal property (tangible or intangible), customs, import and export, escheat, unclaimed property, goods and services, stamp, user, registration, recording, fuel, excess profits, interest equalization, windfall profits, severance, and social security or other taxes or fees) imposed by a Governmental Authority, whether disputed or not, together with all interest, penalties and additions to tax imposed with respect to such amounts (or attributable to the nonpayment thereof).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an amount equal to $9,264,438.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or “group” (as defined under Section 13(d)(3) of the Exchange Act) of Persons, other than Parent, Intermediate, Merger Sub or any of their Affiliates or Representatives.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know-how, trade secrets and confidential or proprietary information, including business and marketing plans and proposals, concepts, methods, practices, processes, standard operating procedures, designs, specifications, customer lists, supplier lists, Contract terms and pricing, Software source code and design information, research and development, technical information, inventions and discoveries, in each case, in any form or medium.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has the meaning set forth in </w:t>
      </w:r>
      <w:r>
        <w:rPr>
          <w:rFonts w:ascii="Times New Roman" w:hAnsi="Times New Roman"/>
          <w:sz w:val="20"/>
          <w:u w:val="single"/>
        </w:rPr>
        <w:t>Section 6.03(d)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Unvested Cash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Unvested Company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SPR</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Voting Company Debt</w:t>
      </w:r>
      <w:r>
        <w:rPr>
          <w:rFonts w:ascii="Times New Roman" w:hAnsi="Times New Roman"/>
          <w:sz w:val="20"/>
        </w:rPr>
        <w:t xml:space="preserve">” has the meaning set forth in </w:t>
      </w:r>
      <w:r>
        <w:rPr>
          <w:rFonts w:ascii="Times New Roman" w:hAnsi="Times New Roman"/>
          <w:sz w:val="20"/>
          <w:u w:val="single"/>
        </w:rPr>
        <w:t>Section 4.02(c)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of this Agreement that is the result of a willful or deliberate act or failure to act by a party hereto that actually knows that taking such act or failure to act would result in such a material breach.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The Merger</w:t>
      </w:r>
      <w:r>
        <w:rPr>
          <w:rFonts w:ascii="Times New Roman" w:hAnsi="Times New Roman"/>
          <w:sz w:val="20"/>
        </w:rPr>
        <w:t>. Upon the terms and subject to the conditions set forth in this Agreement, and in accordance with the DGCL, Merger Sub shall be merged with and into the Company at the Effective Time. Following the Effective Time, the separate corporate existence of Merger Sub shall cease, and the Company shall continue as the surviving corporation in the Merger under the DGCL (the “</w:t>
      </w:r>
      <w:r>
        <w:rPr>
          <w:rFonts w:ascii="Times New Roman" w:hAnsi="Times New Roman"/>
          <w:sz w:val="20"/>
          <w:u w:val="single"/>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will take place as soon as practicable following (and in any event no later than 9:00 a.m., Central time, on the second Business Day following) the satisfaction (other than any that are by their nature to be satisfied at the Closing) or waiver (to the extent permitted by this Agreement and applicable Law) of the conditions set forth in </w:t>
      </w:r>
      <w:r>
        <w:rPr>
          <w:rFonts w:ascii="Times New Roman" w:hAnsi="Times New Roman"/>
          <w:sz w:val="20"/>
          <w:u w:val="single"/>
        </w:rPr>
        <w:t>ARTICLE VII</w:t>
      </w:r>
      <w:r>
        <w:rPr>
          <w:rFonts w:ascii="Times New Roman" w:hAnsi="Times New Roman"/>
          <w:sz w:val="20"/>
        </w:rPr>
        <w:t>, by means of a virtual Closing through electronic exchange of documents and signatures, unless another time, date or place is agreed to in writing by Parent and the Company.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2.03 </w:t>
      </w:r>
      <w:r>
        <w:rPr>
          <w:rFonts w:ascii="Times New Roman" w:hAnsi="Times New Roman"/>
          <w:sz w:val="20"/>
          <w:u w:val="single"/>
        </w:rPr>
        <w:t>Effective Time</w:t>
      </w:r>
      <w:r>
        <w:rPr>
          <w:rFonts w:ascii="Times New Roman" w:hAnsi="Times New Roman"/>
          <w:sz w:val="20"/>
        </w:rPr>
        <w:t>. Subject to the provisions of this Agreement, as soon as practicable on the Closing Date, the Company shall file a certificate of merger with respect to the Merger (the “</w:t>
      </w:r>
      <w:r>
        <w:rPr>
          <w:rFonts w:ascii="Times New Roman" w:hAnsi="Times New Roman"/>
          <w:sz w:val="20"/>
          <w:u w:val="single"/>
        </w:rPr>
        <w:t>Certificate of Merger</w:t>
      </w:r>
      <w:r>
        <w:rPr>
          <w:rFonts w:ascii="Times New Roman" w:hAnsi="Times New Roman"/>
          <w:sz w:val="20"/>
        </w:rPr>
        <w:t>”) with the Secretary of State of the State of Delaware (the “</w:t>
      </w:r>
      <w:r>
        <w:rPr>
          <w:rFonts w:ascii="Times New Roman" w:hAnsi="Times New Roman"/>
          <w:sz w:val="20"/>
          <w:u w:val="single"/>
        </w:rPr>
        <w:t>DE SOS</w:t>
      </w:r>
      <w:r>
        <w:rPr>
          <w:rFonts w:ascii="Times New Roman" w:hAnsi="Times New Roman"/>
          <w:sz w:val="20"/>
        </w:rPr>
        <w:t>”) in such form as is required by, and executed and acknowledged in accordance with, the relevant provisions of the DGCL. The Merger shall become effective on the date and time at which the Certificate of Merger has been duly filed with the DE SOS or at such other date and time as Parent and the Company shall agree in writing and as is specified in the Certificate of Merger. The date and time at which the Merger becomes effective is referred to in this Agreement as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2.04 </w:t>
      </w:r>
      <w:r>
        <w:rPr>
          <w:rFonts w:ascii="Times New Roman" w:hAnsi="Times New Roman"/>
          <w:sz w:val="20"/>
          <w:u w:val="single"/>
        </w:rPr>
        <w:t>Effects of the Merger</w:t>
      </w:r>
      <w:r>
        <w:rPr>
          <w:rFonts w:ascii="Times New Roman" w:hAnsi="Times New Roman"/>
          <w:sz w:val="20"/>
        </w:rPr>
        <w:t xml:space="preserve">. The Merger shall have the effects set forth in the applicable provisions of the DGCL. Without limiting the generality of the foregoing, from and after the Effective Time, the Surviving Corporation shall possess all properties, rights, privileges, powers and franchises of the Company and Merger Sub, and all of the claims, obligations, liabilities, debts and duties of the Company and Merger Sub shall become the claims, obligations, liabilities, debts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2.05 </w:t>
      </w:r>
      <w:r>
        <w:rPr>
          <w:rFonts w:ascii="Times New Roman" w:hAnsi="Times New Roman"/>
          <w:sz w:val="20"/>
          <w:u w:val="single"/>
        </w:rPr>
        <w:t>Charter and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Effective Time, the Company Charter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take all necessary action so that, as of the Effective Time, the Company Bylaws shall be amended and restated in their entirety to read the same as the bylaws of Merger Sub as in effect immediately prior to the Effective Time, and as so amended and restated shall be the bylaws of the Surviving Corporation (except that references to the name of Merger Sub shall be replaced by references to the name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and the applicable provisions of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2.06 </w:t>
      </w:r>
      <w:r>
        <w:rPr>
          <w:rFonts w:ascii="Times New Roman" w:hAnsi="Times New Roman"/>
          <w:sz w:val="20"/>
          <w:u w:val="single"/>
        </w:rPr>
        <w:t>Directors and Officers of the Surviving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directors of Merger Sub immediately prior to the Effective Time shall, from and after the Effective Time, be the directors of the Surviving Corporation until the earlier of their resignation or removal or until their respective successors are duly elected and qualified,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officers of the Company immediately prior to the Effective Time shall, from and after the Effective Time, be the officers of the Surviving Corporation, until the earlier of their resignation or removal or until their respective successors are duly elected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2.07 </w:t>
      </w:r>
      <w:r>
        <w:rPr>
          <w:rFonts w:ascii="Times New Roman" w:hAnsi="Times New Roman"/>
          <w:sz w:val="20"/>
          <w:u w:val="single"/>
        </w:rPr>
        <w:t>Taking of Necessary Action</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Surviving Corporation, the Board of Directors of the Surviving Corporation and officers of the Surviving Corporation shall take all such lawful and necessary action, consistent with this Agreement, on behalf of the Company, Merger Sub and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EFFECT OF THE MERGER ON CAPITAL STOCK; EXCHANGE OF SHARE CERTIFICATES; </w:t>
      </w:r>
    </w:p>
    <w:p>
      <w:pPr>
        <w:pStyle w:val="TextBody"/>
        <w:bidi w:val="0"/>
        <w:spacing w:before="0" w:after="0"/>
        <w:jc w:val="center"/>
        <w:rPr>
          <w:rFonts w:ascii="Times New Roman" w:hAnsi="Times New Roman"/>
          <w:sz w:val="20"/>
        </w:rPr>
      </w:pPr>
      <w:r>
        <w:rPr>
          <w:rFonts w:ascii="Times New Roman" w:hAnsi="Times New Roman"/>
          <w:sz w:val="20"/>
        </w:rPr>
        <w:t xml:space="preserve">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3.01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the Company, Parent, Intermediate, Merger Sub or the holders of any shares of Company Common Stock or any shares of capital stock of Merger Sub: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Merger Sub.</w:t>
      </w:r>
      <w:r>
        <w:rPr>
          <w:rFonts w:ascii="Times New Roman" w:hAnsi="Times New Roman"/>
          <w:sz w:val="20"/>
        </w:rPr>
        <w:t xml:space="preserve"> Each share of capital stock of Merger Sub issued and outstanding immediately prior to the Effective Time shall be automatically converted into one validly issued, fully paid and nonassessable share of common stock, par value $1.00 per share,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Certain Shares.</w:t>
      </w:r>
      <w:r>
        <w:rPr>
          <w:rFonts w:ascii="Times New Roman" w:hAnsi="Times New Roman"/>
          <w:sz w:val="20"/>
        </w:rPr>
        <w:t xml:space="preserve"> Each share of Company Common Stock issued and outstanding immediately prior to the Effective Time that is beneficially owned, directly or indirectly, by Parent, Intermediate, Merger Sub or any of the Affiliated Stockholders at such time or held in the treasury of the Company or owned by any wholly owned Subsidiary of the Company, shall automatically be canceled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Company Common Stock</w:t>
      </w:r>
      <w:r>
        <w:rPr>
          <w:rFonts w:ascii="Times New Roman" w:hAnsi="Times New Roman"/>
          <w:sz w:val="20"/>
        </w:rPr>
        <w:t xml:space="preserve">. Each share of Company Common Stock that is issued and outstanding as of immediately prior to the Effective Time (other than (i) shares of Company Common Stock to be canceled in accordance with </w:t>
      </w:r>
      <w:r>
        <w:rPr>
          <w:rFonts w:ascii="Times New Roman" w:hAnsi="Times New Roman"/>
          <w:sz w:val="20"/>
          <w:u w:val="single"/>
        </w:rPr>
        <w:t>Section 3.01(b)</w:t>
      </w:r>
      <w:r>
        <w:rPr>
          <w:rFonts w:ascii="Times New Roman" w:hAnsi="Times New Roman"/>
          <w:sz w:val="20"/>
        </w:rPr>
        <w:t xml:space="preserve"> and (ii) Dissenting Shares, which shall be treated in accordance with </w:t>
      </w:r>
      <w:r>
        <w:rPr>
          <w:rFonts w:ascii="Times New Roman" w:hAnsi="Times New Roman"/>
          <w:sz w:val="20"/>
          <w:u w:val="single"/>
        </w:rPr>
        <w:t>Section 3.06</w:t>
      </w:r>
      <w:r>
        <w:rPr>
          <w:rFonts w:ascii="Times New Roman" w:hAnsi="Times New Roman"/>
          <w:sz w:val="20"/>
        </w:rPr>
        <w:t xml:space="preserve"> (such shares, the “</w:t>
      </w:r>
      <w:r>
        <w:rPr>
          <w:rFonts w:ascii="Times New Roman" w:hAnsi="Times New Roman"/>
          <w:sz w:val="20"/>
          <w:u w:val="single"/>
        </w:rPr>
        <w:t>Excluded Shares</w:t>
      </w:r>
      <w:r>
        <w:rPr>
          <w:rFonts w:ascii="Times New Roman" w:hAnsi="Times New Roman"/>
          <w:sz w:val="20"/>
        </w:rPr>
        <w:t>”)) shall be converted automatically into and shall thereafter represent only the right to receive an amount in cash equal to $35.00 per share, without interest (the “</w:t>
      </w:r>
      <w:r>
        <w:rPr>
          <w:rFonts w:ascii="Times New Roman" w:hAnsi="Times New Roman"/>
          <w:sz w:val="20"/>
          <w:u w:val="single"/>
        </w:rPr>
        <w:t>Merger Consideration</w:t>
      </w:r>
      <w:r>
        <w:rPr>
          <w:rFonts w:ascii="Times New Roman" w:hAnsi="Times New Roman"/>
          <w:sz w:val="20"/>
        </w:rPr>
        <w:t>”). As of the Effective Time, all such shares of Company Common Stock shall no longer be outstanding and shall automatically be canceled and shall cease to exist, and each holder of (x) a certificate that immediately prior to the Effective Time represented any shares of Company Common Stock (each, a “</w:t>
      </w:r>
      <w:r>
        <w:rPr>
          <w:rFonts w:ascii="Times New Roman" w:hAnsi="Times New Roman"/>
          <w:sz w:val="20"/>
          <w:u w:val="single"/>
        </w:rPr>
        <w:t>Share Certificate</w:t>
      </w:r>
      <w:r>
        <w:rPr>
          <w:rFonts w:ascii="Times New Roman" w:hAnsi="Times New Roman"/>
          <w:sz w:val="20"/>
        </w:rPr>
        <w:t>”), or (y) a non-certificated share of Company Common Stock evidenced in book-entry form that immediately prior to the Effective Time represented any shares of Company Common Stock (each, a “</w:t>
      </w:r>
      <w:r>
        <w:rPr>
          <w:rFonts w:ascii="Times New Roman" w:hAnsi="Times New Roman"/>
          <w:sz w:val="20"/>
          <w:u w:val="single"/>
        </w:rPr>
        <w:t>Book-Entry Share</w:t>
      </w:r>
      <w:r>
        <w:rPr>
          <w:rFonts w:ascii="Times New Roman" w:hAnsi="Times New Roman"/>
          <w:sz w:val="20"/>
        </w:rPr>
        <w:t xml:space="preserve">”) shall cease to have any rights with respect thereto, except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3.02 </w:t>
      </w:r>
      <w:r>
        <w:rPr>
          <w:rFonts w:ascii="Times New Roman" w:hAnsi="Times New Roman"/>
          <w:sz w:val="20"/>
          <w:u w:val="single"/>
        </w:rPr>
        <w:t>Exchange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Closing Date, Parent shall appoint (pursuant to an agreement reasonably acceptable to the Company) the Company’s transfer agent or another agent reasonably acceptable to the Company (the “</w:t>
      </w:r>
      <w:r>
        <w:rPr>
          <w:rFonts w:ascii="Times New Roman" w:hAnsi="Times New Roman"/>
          <w:sz w:val="20"/>
          <w:u w:val="single"/>
        </w:rPr>
        <w:t>Paying Agent</w:t>
      </w:r>
      <w:r>
        <w:rPr>
          <w:rFonts w:ascii="Times New Roman" w:hAnsi="Times New Roman"/>
          <w:sz w:val="20"/>
        </w:rPr>
        <w:t xml:space="preserve">”) as paying agent for the holders of shares of Company Common Stock in connection with the Merger. At or prior to the Effective Time, Parent shall deposit, or cause to be deposited, with the Paying Agent cash in an amount sufficient to pay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(such cash being hereinafter referred to as the “</w:t>
      </w:r>
      <w:r>
        <w:rPr>
          <w:rFonts w:ascii="Times New Roman" w:hAnsi="Times New Roman"/>
          <w:sz w:val="20"/>
          <w:u w:val="single"/>
        </w:rPr>
        <w:t>Exchange Fund</w:t>
      </w:r>
      <w:r>
        <w:rPr>
          <w:rFonts w:ascii="Times New Roman" w:hAnsi="Times New Roman"/>
          <w:sz w:val="20"/>
        </w:rPr>
        <w:t xml:space="preserve">”). The Exchange Fund shall not be used for any purpose other than the payment of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and, in the event that the Exchange Fund shall at any time be insufficient to make the payments of the aggregate Merger Consideration as contemplated by this Agreement, Parent shall deposit additional funds with the Paying Agent in an amount sufficient to make all such payments.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Procedures</w:t>
      </w:r>
      <w:r>
        <w:rPr>
          <w:rFonts w:ascii="Times New Roman" w:hAnsi="Times New Roman"/>
          <w:sz w:val="20"/>
        </w:rPr>
        <w:t>. As promptly as reasonably practicable after the Effective Time (but in no event more than three Business Days thereafter), Parent shall cause the Paying Agent to mail to each holder of record of a Share Certificate or a Book-Entry Share not held, directly or indirectly, through the Depository Trust Company (“</w:t>
      </w:r>
      <w:r>
        <w:rPr>
          <w:rFonts w:ascii="Times New Roman" w:hAnsi="Times New Roman"/>
          <w:sz w:val="20"/>
          <w:u w:val="single"/>
        </w:rPr>
        <w:t>DTC</w:t>
      </w:r>
      <w:r>
        <w:rPr>
          <w:rFonts w:ascii="Times New Roman" w:hAnsi="Times New Roman"/>
          <w:sz w:val="20"/>
        </w:rPr>
        <w:t>” and such Book-Entry Shares, “</w:t>
      </w:r>
      <w:r>
        <w:rPr>
          <w:rFonts w:ascii="Times New Roman" w:hAnsi="Times New Roman"/>
          <w:sz w:val="20"/>
          <w:u w:val="single"/>
        </w:rPr>
        <w:t>Non-DTC Book-Entry Shares</w:t>
      </w:r>
      <w:r>
        <w:rPr>
          <w:rFonts w:ascii="Times New Roman" w:hAnsi="Times New Roman"/>
          <w:sz w:val="20"/>
        </w:rPr>
        <w:t xml:space="preserve">”) (i) a letter of transmittal, which shall specify with respect to any Share Certificates that delivery shall be effected, and risk of loss and title to the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Certificates shall pass, only upon proper delivery of such Share Certificates (or affidavit of loss in lieu thereof in accordance with </w:t>
      </w:r>
      <w:r>
        <w:rPr>
          <w:rFonts w:ascii="Times New Roman" w:hAnsi="Times New Roman"/>
          <w:sz w:val="20"/>
          <w:u w:val="single"/>
        </w:rPr>
        <w:t>Section 3.02(d)</w:t>
      </w:r>
      <w:r>
        <w:rPr>
          <w:rFonts w:ascii="Times New Roman" w:hAnsi="Times New Roman"/>
          <w:sz w:val="20"/>
        </w:rPr>
        <w:t xml:space="preserve">) to the Paying Agent and that shall otherwise be in customary form (including customary provisions with respect to delivery of an “agent’s message” with respect to Book-Entry Shares), and (ii) instructions for use in effecting the surrender of the Share Certificates or Non-DTC Book-Entry Shares in exchange for the Merger Consideration. Each holder of record of a Share Certificate or Non-DTC Book-Entry Share shall, upon surrender to the Paying Agent of such Share Certificate (or affidavit of loss in lieu thereof in accordance with </w:t>
      </w:r>
      <w:r>
        <w:rPr>
          <w:rFonts w:ascii="Times New Roman" w:hAnsi="Times New Roman"/>
          <w:sz w:val="20"/>
          <w:u w:val="single"/>
        </w:rPr>
        <w:t>Section 3.02(d)</w:t>
      </w:r>
      <w:r>
        <w:rPr>
          <w:rFonts w:ascii="Times New Roman" w:hAnsi="Times New Roman"/>
          <w:sz w:val="20"/>
        </w:rPr>
        <w:t xml:space="preserve">) or Non-DTC Book-Entry Share, together with such letter of transmittal, duly executed, and such other documents as may reasonably be required by the Paying Agent, be entitled to receive in exchange therefor the amount of cash that the number of shares of Company Common Stock previously represented by such Share Certificate or Non-DTC Book-Entry Share shall have been converted into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and the Share Certificate or Book-Entry Share so surrendered shall be canceled as promptly as reasonably practicable. With respect to shares of Company Common Stock held through DTC (“</w:t>
      </w:r>
      <w:r>
        <w:rPr>
          <w:rFonts w:ascii="Times New Roman" w:hAnsi="Times New Roman"/>
          <w:sz w:val="20"/>
          <w:u w:val="single"/>
        </w:rPr>
        <w:t>DTC Shares</w:t>
      </w:r>
      <w:r>
        <w:rPr>
          <w:rFonts w:ascii="Times New Roman" w:hAnsi="Times New Roman"/>
          <w:sz w:val="20"/>
        </w:rPr>
        <w:t xml:space="preserve">”),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DTC Shares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this </w:t>
      </w:r>
      <w:r>
        <w:rPr>
          <w:rFonts w:ascii="Times New Roman" w:hAnsi="Times New Roman"/>
          <w:sz w:val="20"/>
          <w:u w:val="single"/>
        </w:rPr>
        <w:t>ARTICLE III</w:t>
      </w:r>
      <w:r>
        <w:rPr>
          <w:rFonts w:ascii="Times New Roman" w:hAnsi="Times New Roman"/>
          <w:sz w:val="20"/>
        </w:rPr>
        <w:t xml:space="preserve">. Each holder of record of a DTC Share, upon surrender to the Paying Agent of such DTC Share in accordance with DTC’s customary surrender procedures and such other procedures as agreed to by the Company, Parent, the Paying Agent, DTC, DTC’s nominees and such other necessary or desirable third-party intermediaries pursuant to and in accordance with the immediately preceding sentence, shall be entitled to receive in exchange therefor, and Parent shall cause the Paying Agent to deliver to each such holder, as promptly as reasonably practicable after the Effective Time, a check (or through such other form of payment as may be mutually agreed upon) in the amount of cash that such holder has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xml:space="preserve">). In the event of a transfer of ownership of Company Common Stock that is not registered in the transfer records of the Company, payment of the Merger Consideration may be made to a Person other than the Person in whose name the Share Certificate so surrendered is registered if such Share Certificate shall be properly endorsed or otherwise be in proper form for transfer and the Person requesting such payment shall pay to the Paying Agent any transfer or other similar Taxes required by reason of the payment of the Merger Consideration to a Person other than the registered holder of such Share Certificate or establish to the reasonable satisfaction of Parent and the Paying Agent that such Tax has been paid or is not applicable. Until surrendered as contemplated by this </w:t>
      </w:r>
      <w:r>
        <w:rPr>
          <w:rFonts w:ascii="Times New Roman" w:hAnsi="Times New Roman"/>
          <w:sz w:val="20"/>
          <w:u w:val="single"/>
        </w:rPr>
        <w:t>Section 3.02(b)</w:t>
      </w:r>
      <w:r>
        <w:rPr>
          <w:rFonts w:ascii="Times New Roman" w:hAnsi="Times New Roman"/>
          <w:sz w:val="20"/>
        </w:rPr>
        <w:t xml:space="preserve">, each Share Certificate and/or Book-Entry Share (other than Excluded Shares) shall be deemed at any time from and after the Effective Time to represent only the right to receive upon such surrender the Merger Consideration which the holder thereof has the right to receive in respect of such Share Certificate or Book-Entry Share pursuant to </w:t>
      </w:r>
      <w:r>
        <w:rPr>
          <w:rFonts w:ascii="Times New Roman" w:hAnsi="Times New Roman"/>
          <w:sz w:val="20"/>
          <w:u w:val="single"/>
        </w:rPr>
        <w:t>Section 3.01(c)</w:t>
      </w:r>
      <w:r>
        <w:rPr>
          <w:rFonts w:ascii="Times New Roman" w:hAnsi="Times New Roman"/>
          <w:sz w:val="20"/>
        </w:rPr>
        <w:t xml:space="preserve">. No interest shall be paid or will accrue on any cash payable to holders of Share Certificates or Book-Entry Shares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w:t>
      </w:r>
      <w:r>
        <w:rPr>
          <w:rFonts w:ascii="Times New Roman" w:hAnsi="Times New Roman"/>
          <w:sz w:val="20"/>
        </w:rPr>
        <w:t xml:space="preserve">. The Merger Consideration paid in accordance with the terms of this </w:t>
      </w:r>
      <w:r>
        <w:rPr>
          <w:rFonts w:ascii="Times New Roman" w:hAnsi="Times New Roman"/>
          <w:sz w:val="20"/>
          <w:u w:val="single"/>
        </w:rPr>
        <w:t>ARTICLE III</w:t>
      </w:r>
      <w:r>
        <w:rPr>
          <w:rFonts w:ascii="Times New Roman" w:hAnsi="Times New Roman"/>
          <w:sz w:val="20"/>
        </w:rPr>
        <w:t xml:space="preserve"> shall be deemed to have been paid in full satisfaction of all rights pertaining to the shares of Company Common Stock formerly represented by such Share Certificates or Book-Entry Shares. From and after the Effective Time, the holders of shares of Company Common Stock outstanding immediately prior to the Effective Time shall cease to have any rights with respect to such shares of Company Common Stock except as otherwise provided for in this Agreement or by applicable Law. At the close of business on the Closing Date, the stock transfer books of the Company shall be closed, and there shall be no further registration of transfers on the stock transfer books of the Surviving Corporation of the shares of Company Common Stock that were outstanding immediately prior to the Effective Time. If, after the Effective Time, any Share Certificate is presented to the Surviving Corporation for transfer, it shall be canceled against delivery of cash to the holder thereof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Lost, Stolen or Destroyed Share Certificates</w:t>
      </w:r>
      <w:r>
        <w:rPr>
          <w:rFonts w:ascii="Times New Roman" w:hAnsi="Times New Roman"/>
          <w:sz w:val="20"/>
        </w:rPr>
        <w:t xml:space="preserve">. If any Share Certificate shall have been lost, stolen or destroyed, upon the making of an affidavit of that fact by the Person claiming such Share Certificate to be lost, stolen or destroyed and, if required by Parent or the Surviving Corporation, the posting by such Person of a bond, in such reasonable amount as Parent may direct, as an indemnity against any claim that may be made against it with respect to such Share Certificate, the Paying Agent shall deliver in exchange for such lost, stolen or destroyed Share Certificate the applicable Merger Consideration to be paid in respect of the shares of Company Common Stock formerly represented by such Share Certificate as contemplated by, and subject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w:t>
      </w:r>
      <w:r>
        <w:rPr>
          <w:rFonts w:ascii="Times New Roman" w:hAnsi="Times New Roman"/>
          <w:sz w:val="20"/>
        </w:rPr>
        <w:t xml:space="preserve">. Any portion of the Exchange Fund that remains undistributed to the holders of the shares of Company Common Stock on the date that is six months after the date on which the Effective Time occurs shall be delivered to the Surviving Corporation (or its designee), upon demand, and any holders of the shares of Company Common Stock who have not theretofore complied with this </w:t>
      </w:r>
      <w:r>
        <w:rPr>
          <w:rFonts w:ascii="Times New Roman" w:hAnsi="Times New Roman"/>
          <w:sz w:val="20"/>
          <w:u w:val="single"/>
        </w:rPr>
        <w:t>Section 3.02</w:t>
      </w:r>
      <w:r>
        <w:rPr>
          <w:rFonts w:ascii="Times New Roman" w:hAnsi="Times New Roman"/>
          <w:sz w:val="20"/>
        </w:rPr>
        <w:t xml:space="preserve"> shall thereafter look only to the Surviving Corporation for payment of their claims for the Merger Consideration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None of Parent, Intermediate, Merger Sub, the Company, the Surviving Corporation or the Paying Agent shall be liable to any Person in respect of any cash from the Exchange Fund delivered to a public official in compliance with any applicable state, federal or other abandoned property, escheat or similar Law. If any Share Certificate or Book-Entry Share shall not have been surrendered prior to the date on which the related Merger Consideration would escheat to or become the property of any Governmental Authority, any such Merger Consideration shall, to the extent permitted by applicable Law, immediately prior to such time become the property of the Surviving Corporation,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Withholding</w:t>
      </w:r>
      <w:r>
        <w:rPr>
          <w:rFonts w:ascii="Times New Roman" w:hAnsi="Times New Roman"/>
          <w:sz w:val="20"/>
        </w:rPr>
        <w:t xml:space="preserve">. Notwithstanding anything in this Agreement to the contrary,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and the Paying Agent (and any Affiliate thereof or any other withholding agent) shall be entitled to deduct and withhold from the consideration otherwise payable pursuant to this Agreement to any holder of shares of Company Common Stock (or any holder of a Equity-Based Award)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as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Parent or the Paying Agent (or such Affiliate thereof or other such withholding agent) are required to deduct and withhold with respect to the making of such payment under the Code or any provision of Tax Law. To the extent that amounts are so withheld and paid over to the appropriate Governmental Authority, such withheld amounts shall be treated for all purposes of this Agreement as having been paid to the holder of the shares of Company Common Stock or the holder of the Equity-Based Award, as the case may be, in respect of which such deduction and withholding was made.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Investment of Exchange Fund</w:t>
      </w:r>
      <w:r>
        <w:rPr>
          <w:rFonts w:ascii="Times New Roman" w:hAnsi="Times New Roman"/>
          <w:sz w:val="20"/>
        </w:rPr>
        <w:t xml:space="preserve">. The Paying Agent shall invest the cash in the Exchange Fund as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investments, if made, must be made in (i) short-term direct obligations of the U.S., (ii) short-term obligations for which the full faith and credit of the U.S.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Any interest and other income resulting from such investments shall be paid to Parent. Nothing contained herein and no investment losses resulting from investment of the Exchange Fund shall diminish the rights of any holder of Share Certificates or Book-Entry Shares to receive the Merger Consideration, in each case,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3.03 </w:t>
      </w:r>
      <w:r>
        <w:rPr>
          <w:rFonts w:ascii="Times New Roman" w:hAnsi="Times New Roman"/>
          <w:sz w:val="20"/>
          <w:u w:val="single"/>
        </w:rPr>
        <w:t>Treatment of Equity-Based Awards</w:t>
      </w:r>
      <w:r>
        <w:rPr>
          <w:rFonts w:ascii="Times New Roman" w:hAnsi="Times New Roman"/>
          <w:sz w:val="20"/>
        </w:rPr>
        <w:t xml:space="preserve">. Except as otherwise agreed in writing by Parent and a holder of an Equity-Based Award, the Equity-Based Awards will be treated as follows: </w:t>
      </w:r>
    </w:p>
    <w:p>
      <w:pPr>
        <w:pStyle w:val="TextBody"/>
        <w:bidi w:val="0"/>
        <w:spacing w:before="120" w:after="0"/>
        <w:jc w:val="left"/>
        <w:rPr>
          <w:rFonts w:ascii="Times New Roman" w:hAnsi="Times New Roman"/>
          <w:sz w:val="20"/>
        </w:rPr>
      </w:pPr>
      <w:r>
        <w:rPr>
          <w:rFonts w:ascii="Times New Roman" w:hAnsi="Times New Roman"/>
          <w:sz w:val="20"/>
        </w:rPr>
        <w:t>(a) Each restricted stock unit with respect to Company Common Stock granted under an Equity Plan or otherwise (each, a “</w:t>
      </w:r>
      <w:r>
        <w:rPr>
          <w:rFonts w:ascii="Times New Roman" w:hAnsi="Times New Roman"/>
          <w:sz w:val="20"/>
          <w:u w:val="single"/>
        </w:rPr>
        <w:t>Company RSU</w:t>
      </w:r>
      <w:r>
        <w:rPr>
          <w:rFonts w:ascii="Times New Roman" w:hAnsi="Times New Roman"/>
          <w:sz w:val="20"/>
        </w:rPr>
        <w:t>”) outstanding immediately prior to the Effective Time that is (i)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RSU</w:t>
      </w:r>
      <w:r>
        <w:rPr>
          <w:rFonts w:ascii="Times New Roman" w:hAnsi="Times New Roman"/>
          <w:sz w:val="20"/>
        </w:rPr>
        <w:t>”) or (ii) held by a current or former nonemployee director of the Company as of immediately prior to the Effective Time, whether vested (but not yet settled) or unvested (each, a “</w:t>
      </w:r>
      <w:r>
        <w:rPr>
          <w:rFonts w:ascii="Times New Roman" w:hAnsi="Times New Roman"/>
          <w:sz w:val="20"/>
          <w:u w:val="single"/>
        </w:rPr>
        <w:t>Director RSU</w:t>
      </w:r>
      <w:r>
        <w:rPr>
          <w:rFonts w:ascii="Times New Roman" w:hAnsi="Times New Roman"/>
          <w:sz w:val="20"/>
        </w:rPr>
        <w:t xml:space="preserve">”), shall, as of the Effective Time, without any action on the part of any Person, be canceled, and the holder thereof shall then become entitled to receive solely, in full satisfaction of the rights of such holder with respect thereto,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p>
      <w:pPr>
        <w:pStyle w:val="TextBody"/>
        <w:bidi w:val="0"/>
        <w:spacing w:before="120" w:after="0"/>
        <w:jc w:val="left"/>
        <w:rPr>
          <w:rFonts w:ascii="Times New Roman" w:hAnsi="Times New Roman"/>
          <w:sz w:val="20"/>
        </w:rPr>
      </w:pPr>
      <w:r>
        <w:rPr>
          <w:rFonts w:ascii="Times New Roman" w:hAnsi="Times New Roman"/>
          <w:sz w:val="20"/>
        </w:rPr>
        <w:t>(b) Each option to purchase shares of Company Common Stock granted under an Equity Plan or otherwise (each, a “</w:t>
      </w:r>
      <w:r>
        <w:rPr>
          <w:rFonts w:ascii="Times New Roman" w:hAnsi="Times New Roman"/>
          <w:sz w:val="20"/>
          <w:u w:val="single"/>
        </w:rPr>
        <w:t>Company Stock Option</w:t>
      </w:r>
      <w:r>
        <w:rPr>
          <w:rFonts w:ascii="Times New Roman" w:hAnsi="Times New Roman"/>
          <w:sz w:val="20"/>
        </w:rPr>
        <w:t>”) that is outstanding immediately prior to the Effective Time that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Option</w:t>
      </w:r>
      <w:r>
        <w:rPr>
          <w:rFonts w:ascii="Times New Roman" w:hAnsi="Times New Roman"/>
          <w:sz w:val="20"/>
        </w:rPr>
        <w:t xml:space="preserve">”), shall, as of the Effective Time, without any action on the part of any Person, vest and be canceled, and the holder thereof shall then become entitled to receive solely, in full satisfaction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of such holder with respect thereto,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each Company Stock Option (whether or not such Company Stock Option is a Vested Company Option) for which the exercise price is greater than or equal to the Merger Consideration (each, an “</w:t>
      </w:r>
      <w:r>
        <w:rPr>
          <w:rFonts w:ascii="Times New Roman" w:hAnsi="Times New Roman"/>
          <w:sz w:val="20"/>
          <w:u w:val="single"/>
        </w:rPr>
        <w:t>Underwater Option</w:t>
      </w:r>
      <w:r>
        <w:rPr>
          <w:rFonts w:ascii="Times New Roman" w:hAnsi="Times New Roman"/>
          <w:sz w:val="20"/>
        </w:rPr>
        <w:t xml:space="preserve">”) shall be terminated and cancelled for no payment without further action on the part of any Person. </w:t>
      </w:r>
    </w:p>
    <w:p>
      <w:pPr>
        <w:pStyle w:val="TextBody"/>
        <w:bidi w:val="0"/>
        <w:spacing w:before="120" w:after="0"/>
        <w:jc w:val="left"/>
        <w:rPr>
          <w:rFonts w:ascii="Times New Roman" w:hAnsi="Times New Roman"/>
          <w:sz w:val="20"/>
        </w:rPr>
      </w:pPr>
      <w:r>
        <w:rPr>
          <w:rFonts w:ascii="Times New Roman" w:hAnsi="Times New Roman"/>
          <w:sz w:val="20"/>
        </w:rPr>
        <w:t>(c) Each stock performance right granted under an Equity Plan or otherwise (each, a “</w:t>
      </w:r>
      <w:r>
        <w:rPr>
          <w:rFonts w:ascii="Times New Roman" w:hAnsi="Times New Roman"/>
          <w:sz w:val="20"/>
          <w:u w:val="single"/>
        </w:rPr>
        <w:t>Company Stock Performance Right</w:t>
      </w:r>
      <w:r>
        <w:rPr>
          <w:rFonts w:ascii="Times New Roman" w:hAnsi="Times New Roman"/>
          <w:sz w:val="20"/>
        </w:rPr>
        <w:t>”) that is outstanding immediately prior to the Effective Time (but not yet settled) (each, a “</w:t>
      </w:r>
      <w:r>
        <w:rPr>
          <w:rFonts w:ascii="Times New Roman" w:hAnsi="Times New Roman"/>
          <w:sz w:val="20"/>
          <w:u w:val="single"/>
        </w:rPr>
        <w:t>Vested SPR</w:t>
      </w:r>
      <w:r>
        <w:rPr>
          <w:rFonts w:ascii="Times New Roman" w:hAnsi="Times New Roman"/>
          <w:sz w:val="20"/>
        </w:rPr>
        <w:t xml:space="preserve">”), shall, as of the Effective Time, without any action on the part of any Person, be canceled, and the holder thereof shall then become entitled to receive, in full satisfaction of the rights of such holder with respect thereto solely, an amount in cash, without interest and subject to applicable withholding Taxes, equal to the product of (i) the number of shares of Company Common Stock for which such Vested SPR has not then been exercised and (ii) the excess of the Merger Consideration over the per share exercise price of such Vested SPR. </w:t>
      </w:r>
    </w:p>
    <w:p>
      <w:pPr>
        <w:pStyle w:val="TextBody"/>
        <w:bidi w:val="0"/>
        <w:spacing w:before="120" w:after="0"/>
        <w:jc w:val="left"/>
        <w:rPr>
          <w:rFonts w:ascii="Times New Roman" w:hAnsi="Times New Roman"/>
          <w:sz w:val="20"/>
        </w:rPr>
      </w:pPr>
      <w:r>
        <w:rPr>
          <w:rFonts w:ascii="Times New Roman" w:hAnsi="Times New Roman"/>
          <w:sz w:val="20"/>
        </w:rPr>
        <w:t>(d) At the Effective Time, each Company RSU other than a Vested Company RSU or a Director RSU (each, an “</w:t>
      </w:r>
      <w:r>
        <w:rPr>
          <w:rFonts w:ascii="Times New Roman" w:hAnsi="Times New Roman"/>
          <w:sz w:val="20"/>
          <w:u w:val="single"/>
        </w:rPr>
        <w:t>Unvested Company RSU</w:t>
      </w:r>
      <w:r>
        <w:rPr>
          <w:rFonts w:ascii="Times New Roman" w:hAnsi="Times New Roman"/>
          <w:sz w:val="20"/>
        </w:rPr>
        <w:t>”) shall, automatically and without any required action on the part of the holder thereof, cease to represent a restricted stock unit with a right to be settled with a share of Company Common Stock and shall be converted into a number of restricted units with a right for each such restricted unit to be settled in cash in an amount equal to the Merger Consideration (each, an “</w:t>
      </w:r>
      <w:r>
        <w:rPr>
          <w:rFonts w:ascii="Times New Roman" w:hAnsi="Times New Roman"/>
          <w:sz w:val="20"/>
          <w:u w:val="single"/>
        </w:rPr>
        <w:t>Unvested Cash RSU</w:t>
      </w:r>
      <w:r>
        <w:rPr>
          <w:rFonts w:ascii="Times New Roman" w:hAnsi="Times New Roman"/>
          <w:sz w:val="20"/>
        </w:rPr>
        <w:t xml:space="preserve">”). Except as specifically provided above, at and following the Effective Time, each such Unvested Cash RSU shall continue to be governed by the same vesting terms and conditions as were applicable to the applicable Unvested Company RSU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(e) At the Effective Time, each stock unit credited to the equity award deferral account of a participant under the Company Executive Deferral Plan (each, a “</w:t>
      </w:r>
      <w:r>
        <w:rPr>
          <w:rFonts w:ascii="Times New Roman" w:hAnsi="Times New Roman"/>
          <w:sz w:val="20"/>
          <w:u w:val="single"/>
        </w:rPr>
        <w:t>Company Stock Unit</w:t>
      </w:r>
      <w:r>
        <w:rPr>
          <w:rFonts w:ascii="Times New Roman" w:hAnsi="Times New Roman"/>
          <w:sz w:val="20"/>
        </w:rPr>
        <w:t xml:space="preserve">”) shall, automatically and without any required action on the part of the holder thereof, cease to represent a stock unit with a right to be settled with a share of Company Common Stock and shall be converted into an account credit in an amount equal to the Merger Consideration, credited to such participant’s account balance in the Company Executive Deferral Plan, which may then, after the Effective Time, be hypothetically invested in one or more measurement funds by the participant as provided under the terms of the Company Executive Deferral Plan. Such amount shall represent an unfunded obligation of the Company to make cash payment(s) at such time and in such form to such participant as required pursuant to the terms of the Company Executive Deferral Plan. Except as specifically provided above, at and following the Effective Time, such amounts deferred in the Company Executive Deferral Plan shall remain subject to the terms of the Company Executive Deferral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3.04 </w:t>
      </w:r>
      <w:r>
        <w:rPr>
          <w:rFonts w:ascii="Times New Roman" w:hAnsi="Times New Roman"/>
          <w:sz w:val="20"/>
          <w:u w:val="single"/>
        </w:rPr>
        <w:t>Payments with Respect to Equity-Based Awards; Company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Effective Time (but in any event, not later than 30 days following the Effective Time), the Surviving Corporation shall pay to the holders of the Equity-Based Awards through its payroll systems, any amounts due pursuant to </w:t>
      </w:r>
      <w:r>
        <w:rPr>
          <w:rFonts w:ascii="Times New Roman" w:hAnsi="Times New Roman"/>
          <w:sz w:val="20"/>
          <w:u w:val="single"/>
        </w:rPr>
        <w:t>Section 3.03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At or prior to the Effective Time, the Company, the Board and any authorized committee of the Board, as applicable, shall adopt any resolutions and take any actions that are necessary to effectuate the provisions of </w:t>
      </w:r>
      <w:r>
        <w:rPr>
          <w:rFonts w:ascii="Times New Roman" w:hAnsi="Times New Roman"/>
          <w:sz w:val="20"/>
          <w:u w:val="single"/>
        </w:rPr>
        <w:t>Section 3.03</w:t>
      </w:r>
      <w:r>
        <w:rPr>
          <w:rFonts w:ascii="Times New Roman" w:hAnsi="Times New Roman"/>
          <w:sz w:val="20"/>
        </w:rPr>
        <w:t xml:space="preserv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Equity-Based Awards or any other awards under any Equity Plans or the Company Executive Deferral Plan. </w:t>
      </w:r>
    </w:p>
    <w:p>
      <w:pPr>
        <w:pStyle w:val="TextBody"/>
        <w:bidi w:val="0"/>
        <w:spacing w:before="240" w:after="0"/>
        <w:jc w:val="left"/>
        <w:rPr>
          <w:rFonts w:ascii="Times New Roman" w:hAnsi="Times New Roman"/>
          <w:sz w:val="20"/>
        </w:rPr>
      </w:pPr>
      <w:r>
        <w:rPr>
          <w:rFonts w:ascii="Times New Roman" w:hAnsi="Times New Roman"/>
          <w:sz w:val="20"/>
        </w:rPr>
        <w:t xml:space="preserve">3.05 </w:t>
      </w:r>
      <w:r>
        <w:rPr>
          <w:rFonts w:ascii="Times New Roman" w:hAnsi="Times New Roman"/>
          <w:sz w:val="20"/>
          <w:u w:val="single"/>
        </w:rPr>
        <w:t>Adjustments</w:t>
      </w:r>
      <w:r>
        <w:rPr>
          <w:rFonts w:ascii="Times New Roman" w:hAnsi="Times New Roman"/>
          <w:sz w:val="20"/>
        </w:rPr>
        <w:t xml:space="preserve">. Notwithstanding any provision of this </w:t>
      </w:r>
      <w:r>
        <w:rPr>
          <w:rFonts w:ascii="Times New Roman" w:hAnsi="Times New Roman"/>
          <w:sz w:val="20"/>
          <w:u w:val="single"/>
        </w:rPr>
        <w:t>ARTICLE III</w:t>
      </w:r>
      <w:r>
        <w:rPr>
          <w:rFonts w:ascii="Times New Roman" w:hAnsi="Times New Roman"/>
          <w:sz w:val="20"/>
        </w:rPr>
        <w:t xml:space="preserve"> to the contrary, between the date hereof and the Effective Time, the outstanding shares of Company Common Stock shall have been changed into a different number of shares or a different class by reason of the occurrence or record date of any stock split, reverse share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this </w:t>
      </w:r>
      <w:r>
        <w:rPr>
          <w:rFonts w:ascii="Times New Roman" w:hAnsi="Times New Roman"/>
          <w:sz w:val="20"/>
          <w:u w:val="single"/>
        </w:rPr>
        <w:t>ARTICLE III</w:t>
      </w:r>
      <w:r>
        <w:rPr>
          <w:rFonts w:ascii="Times New Roman" w:hAnsi="Times New Roman"/>
          <w:sz w:val="20"/>
        </w:rPr>
        <w:t xml:space="preserve"> shall be equitably adjusted to reflect such stock split, reverse share split, dividend (including any dividend or other distribution of securities convertible into shares of Company Common Stock), reorganization, recapitalization, reclassification, combination,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nothing in this </w:t>
      </w:r>
      <w:r>
        <w:rPr>
          <w:rFonts w:ascii="Times New Roman" w:hAnsi="Times New Roman"/>
          <w:sz w:val="20"/>
          <w:u w:val="single"/>
        </w:rPr>
        <w:t>Section 3.05</w:t>
      </w:r>
      <w:r>
        <w:rPr>
          <w:rFonts w:ascii="Times New Roman" w:hAnsi="Times New Roman"/>
          <w:sz w:val="20"/>
        </w:rPr>
        <w:t xml:space="preserve"> shall be construed to permit the Company to take any action with respect to its securities that is otherwise prohibited by the terms of this Agreement and (b) share repurchases and grants of equity compensation solely to the extent expressly permitted by the terms of this Agreement, shall not result in any adjustment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3.06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in this Agreement to the contrary, if required by the DGCL (but only to the extent required thereby) any shares of Company Common Stock that are issued and outstanding immediately prior to the Effective Time and that are held by holders who have not voted such shares of Company Common Stock in favor of the adoption of this Agreement and who are entitled to and have properly demanded appraisal rights with respect thereto in accordance with Section 262 of the DGCL, have complied in all respects with Section 262 of the DGCL and have not effectively withdrawn such demand (collectively, “</w:t>
      </w:r>
      <w:r>
        <w:rPr>
          <w:rFonts w:ascii="Times New Roman" w:hAnsi="Times New Roman"/>
          <w:sz w:val="20"/>
          <w:u w:val="single"/>
        </w:rPr>
        <w:t>Dissenting Shares</w:t>
      </w:r>
      <w:r>
        <w:rPr>
          <w:rFonts w:ascii="Times New Roman" w:hAnsi="Times New Roman"/>
          <w:sz w:val="20"/>
        </w:rPr>
        <w:t xml:space="preserve">”) shall not be converted into the right to receive the Merger Consideration as provided in </w:t>
      </w:r>
      <w:r>
        <w:rPr>
          <w:rFonts w:ascii="Times New Roman" w:hAnsi="Times New Roman"/>
          <w:sz w:val="20"/>
          <w:u w:val="single"/>
        </w:rPr>
        <w:t>Section 3.01(c)</w:t>
      </w:r>
      <w:r>
        <w:rPr>
          <w:rFonts w:ascii="Times New Roman" w:hAnsi="Times New Roman"/>
          <w:sz w:val="20"/>
        </w:rPr>
        <w:t xml:space="preserve">, unless and until such Person shall have effectively withdrawn or otherwise lost or failed to perfect such Person’s right to appraisal or payment under the DGCL, at which time such shares of Company Common Stock shall be treated as if they had been converted into and become exchangeable for the right to receive, as of the Effective Time, the Merger Consideration as provided in </w:t>
      </w:r>
      <w:r>
        <w:rPr>
          <w:rFonts w:ascii="Times New Roman" w:hAnsi="Times New Roman"/>
          <w:sz w:val="20"/>
          <w:u w:val="single"/>
        </w:rPr>
        <w:t>Section 3.01(c)</w:t>
      </w:r>
      <w:r>
        <w:rPr>
          <w:rFonts w:ascii="Times New Roman" w:hAnsi="Times New Roman"/>
          <w:sz w:val="20"/>
        </w:rPr>
        <w:t xml:space="preserve">, without interest and after giving effect to any required Tax withholdings pursuant to </w:t>
      </w:r>
      <w:r>
        <w:rPr>
          <w:rFonts w:ascii="Times New Roman" w:hAnsi="Times New Roman"/>
          <w:sz w:val="20"/>
          <w:u w:val="single"/>
        </w:rPr>
        <w:t>Section 3.02(g)</w:t>
      </w:r>
      <w:r>
        <w:rPr>
          <w:rFonts w:ascii="Times New Roman" w:hAnsi="Times New Roman"/>
          <w:sz w:val="20"/>
        </w:rPr>
        <w:t xml:space="preserve">, and such shares of Company Common Stock shall not be deemed Dissenting Shares, and such holder thereof shall cease to have any other rights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shares of Company Common Stock. Each Dissenting Share shall no longer be outstanding, shall automatically be cancelled and extinguished and shall cease to exist at the Effective Time, and each holder of Dissenting Shares shall be entitled to receive only the payment of the fair value of such Dissenting Shares in accordance with the provisions of, and as provided by, Section 262 of the DGCL with respect to such Dissenting Shares unless and until such Person shall have effectively withdrawn or otherwise lost or failed to perfect such Person’s right to appraisal or payment under the DGCL.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give prompt written notice to Parent of any demands received by the Company for appraisal of any shares of Company Common Stock (and any withdrawals or attempted withdrawals of such demands) as well as copies of any instruments, notices or demands served pursuant Section 262 of the DGCL. Parent, Intermediate and Merger Sub shall have the right to participate in all negotiations and proceedings with respect to such demands. Prior to the Effective Time, the Company shall not, without the prior approval of the Special Committee and prior written consent of Parent, make any payment with respect to, or settle or offer to settle, any such demands or notices of dissent, waive any failure to timely deliver a written demand for appraisal under the DGCL, approve any withdrawal of any such demands or otherwise agree to do any of the foregoing. Prior to the Effective Time, Parent shall not, except with the prior written consent of the Company, require the Company to make any payment with respect to any demands for appraisal or notices of dissent or offer to settle or settle any such demands or notices. For purposes of this </w:t>
      </w:r>
      <w:r>
        <w:rPr>
          <w:rFonts w:ascii="Times New Roman" w:hAnsi="Times New Roman"/>
          <w:sz w:val="20"/>
          <w:u w:val="single"/>
        </w:rPr>
        <w:t>Section 3.06(b)</w:t>
      </w:r>
      <w:r>
        <w:rPr>
          <w:rFonts w:ascii="Times New Roman" w:hAnsi="Times New Roman"/>
          <w:sz w:val="20"/>
        </w:rPr>
        <w:t xml:space="preserve">, “participate” means that Parent will be kept apprised of proposed strategy and other significant decisions with respect to demands for appraisal pursuant to the DGCL in respect of Dissenting Shares (to the extent that the attorney-client privilege between the Company and its counsel is not undermined or otherwise affected), and Parent may offer comments or suggestions with respect to such demands (which the Company will consider in good faith) but will not be afforded any decision-making power or other authority over such demands except for Parent’s right to consent set forth in this </w:t>
      </w:r>
      <w:r>
        <w:rPr>
          <w:rFonts w:ascii="Times New Roman" w:hAnsi="Times New Roman"/>
          <w:sz w:val="20"/>
          <w:u w:val="single"/>
        </w:rPr>
        <w:t>Section 3.06(b)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(x) as disclosed in any report, schedule, exhibit, form, statement or other document filed with, or furnished to, the SEC by the Company, in each case, after January 1, 2024 and publicly available at least one Business Day prior to the date of this Agreement (collectively, the “</w:t>
      </w:r>
      <w:r>
        <w:rPr>
          <w:rFonts w:ascii="Times New Roman" w:hAnsi="Times New Roman"/>
          <w:sz w:val="20"/>
          <w:u w:val="single"/>
        </w:rPr>
        <w:t>Filed SEC Documents</w:t>
      </w:r>
      <w:r>
        <w:rPr>
          <w:rFonts w:ascii="Times New Roman" w:hAnsi="Times New Roman"/>
          <w:sz w:val="20"/>
        </w:rPr>
        <w:t xml:space="preserve">”) (but excluding any disclosures contained under the captions “Risk Factors” or “Forward Looking Statements” and any other disclosures contained therein that are similarly predictive, cautionary or forward looking in nature) (it being understood that this </w:t>
      </w:r>
      <w:r>
        <w:rPr>
          <w:rFonts w:ascii="Times New Roman" w:hAnsi="Times New Roman"/>
          <w:sz w:val="20"/>
          <w:u w:val="single"/>
        </w:rPr>
        <w:t>clause (x)</w:t>
      </w:r>
      <w:r>
        <w:rPr>
          <w:rFonts w:ascii="Times New Roman" w:hAnsi="Times New Roman"/>
          <w:sz w:val="20"/>
        </w:rPr>
        <w:t xml:space="preserve"> shall not be applicable to </w:t>
      </w:r>
      <w:r>
        <w:rPr>
          <w:rFonts w:ascii="Times New Roman" w:hAnsi="Times New Roman"/>
          <w:sz w:val="20"/>
          <w:u w:val="single"/>
        </w:rPr>
        <w:t>Section 4.02</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and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or (y) subject to </w:t>
      </w:r>
      <w:r>
        <w:rPr>
          <w:rFonts w:ascii="Times New Roman" w:hAnsi="Times New Roman"/>
          <w:sz w:val="20"/>
          <w:u w:val="single"/>
        </w:rPr>
        <w:t>Section 9.12(d)</w:t>
      </w:r>
      <w:r>
        <w:rPr>
          <w:rFonts w:ascii="Times New Roman" w:hAnsi="Times New Roman"/>
          <w:sz w:val="20"/>
        </w:rPr>
        <w:t>, as set forth in the confidential disclosure letter delivered by the Company to Parent, Intermediate and Merger Sub concurrently with or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acknowledged and hereby agreed that disclosure of any information in any section or subsection of the Company Disclosure Letter shall be deemed disclosed with respect to any other section or subsection of this Agreement and the Company Disclosure Letter only to the extent that the relevance thereof is reasonably apparent on the face of such disclosure), the Company hereby represents and warrants to Parent, Intermediate and Merger Sub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4.01 </w:t>
      </w:r>
      <w:r>
        <w:rPr>
          <w:rFonts w:ascii="Times New Roman" w:hAnsi="Times New Roman"/>
          <w:sz w:val="20"/>
          <w:u w:val="single"/>
        </w:rPr>
        <w:t>Organization; 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a corporation duly organized and validly existing under the Laws of the State of Delaware, is in good standing with the DE SOS and has all requisite corporate power and corporate authority necessary to carry on its business as it is now being conducted and to own, lease and operate its assets and properties, except (other than with respect to the Company’s due organization and valid existence in Delaware)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True and complete copies of the Company Charter Documents have been made available to Parent, in each case, as in full force and effect on the date of this Agreement, and no amendments are pending with respect thereto and each of the Company and its Subsidiaries, as applicable, is not in violation of any terms thereof, except where any such violation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4.01(b)</w:t>
      </w:r>
      <w:r>
        <w:rPr>
          <w:rFonts w:ascii="Times New Roman" w:hAnsi="Times New Roman"/>
          <w:sz w:val="20"/>
        </w:rPr>
        <w:t xml:space="preserve"> of the Company Disclosure Letter lists the name of each Subsidiary of the Company and the jurisdiction of organization thereof. All the outstanding shares of capital stock or other voting securities of, or other equity interests in, each Subsidiary of the Company have been duly authorized, validly issued and are fully paid and nonassessable and are not subject to any preemptive rights and are owned, directly or indirectly, by the Company free and clear of all Liens, other than Permitted Liens. Except for its interests in its Subsidiaries, the Company does not own, directly or indirectly, any capital stock or other voting securities of, or other equity interests in, any corporation, partnership, joint venture, association or other entity. There are no outstanding or authorized options, warrants, rights (including preemptive rights) stock, stock appreciation rights, calls, puts, convertible or exchangeable securities, stock-based performance units, subscriptions, Contracts or undertakings of any kind to which any Subsidiary of the Company is a party or by which any of them is bound (i) obligating any such Subsidiary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any Subsidiary of the Company, (ii) obligating any such Subsidiary to issue, grant or enter into any such option, warrant, right, security, unit, Contract or undertaking, or (iii) that give any Person the right to receive any economic interest of a nature accruing to the holders of capital stock of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4.02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the Company consists of (i) 70,000,000 shares of Company Common Stock and (ii) 500,000 shares of preferred stock, $1.00 par value per share, of the Company (“</w:t>
      </w:r>
      <w:r>
        <w:rPr>
          <w:rFonts w:ascii="Times New Roman" w:hAnsi="Times New Roman"/>
          <w:sz w:val="20"/>
          <w:u w:val="single"/>
        </w:rPr>
        <w:t>Company Preferred Stock</w:t>
      </w:r>
      <w:r>
        <w:rPr>
          <w:rFonts w:ascii="Times New Roman" w:hAnsi="Times New Roman"/>
          <w:sz w:val="20"/>
        </w:rPr>
        <w:t>”). At the close of business on July 14, 2026 (the “</w:t>
      </w:r>
      <w:r>
        <w:rPr>
          <w:rFonts w:ascii="Times New Roman" w:hAnsi="Times New Roman"/>
          <w:sz w:val="20"/>
          <w:u w:val="single"/>
        </w:rPr>
        <w:t>Measurement Time</w:t>
      </w:r>
      <w:r>
        <w:rPr>
          <w:rFonts w:ascii="Times New Roman" w:hAnsi="Times New Roman"/>
          <w:sz w:val="20"/>
        </w:rPr>
        <w:t xml:space="preserve">”), (A) 46,255,422 shares of Company Common Stock were issued and outstanding, (B) 1,697,787 shares of Company Common Stock were issued and held by the Company in its treasury, (C) no shares of Company Preferred Stock were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held by the Company in its treasury, (D) 2,258,658 shares of Company Common Stock were underlying the outstanding Company Stock Options, (E) 424,717 shares of Company Common Stock were underlying the outstanding Company RSUs, (F) 3,123,112 additional shares of Company Common Stock were reserved for issuance pursuant to the Equity Plans, (G) 26,754 shares of Company Common Stock were underlying the outstanding Company Stock Performance Rights and (H) 115,988 shares of Company Common Stock were underlying the Company Stock Units in the Company Executive Deferral Plan. Except as set forth above, as of the Measurement Time, no shares of capital stock in the Company were issued, reserved for issuance or outstanding or subject to outstanding awards under the Equity Plans. </w:t>
      </w:r>
    </w:p>
    <w:p>
      <w:pPr>
        <w:pStyle w:val="TextBody"/>
        <w:bidi w:val="0"/>
        <w:spacing w:before="120" w:after="0"/>
        <w:jc w:val="left"/>
        <w:rPr>
          <w:rFonts w:ascii="Times New Roman" w:hAnsi="Times New Roman"/>
          <w:sz w:val="20"/>
        </w:rPr>
      </w:pPr>
      <w:r>
        <w:rPr>
          <w:rFonts w:ascii="Times New Roman" w:hAnsi="Times New Roman"/>
          <w:sz w:val="20"/>
        </w:rPr>
        <w:t xml:space="preserve">(b) Since the Measurement Time, (i) there have been no issuances by the Company of shares of capital stock or other voting securities of or equity interests in the Company (including Equity-Based Awards), other than issuances of shares of Company Common Stock pursuant to Company Stock Options and vesting of Company RSUs outstanding as of the Measurement Time, and (ii) there have been no issuances by the Company of options, warrants, rights (including preemptive rights), calls, puts, convertible or exchangeable securities, stock-based performance units, subscriptions or other rights to acquire shares of capital stock of the Company or securities convertible into or exchangeable for shares of capital stock of the Company or other rights that give the holder thereof any economic interest of a nature accruing to the holders of Company Common Stock. All outstanding shares of Company Common Stock are, and all such shares that may be issued prior to the Effective Time will be, when issued, duly authorized, validly issued, fully paid and nonassessable and not subject to preemptive rights. </w:t>
      </w:r>
    </w:p>
    <w:p>
      <w:pPr>
        <w:pStyle w:val="TextBody"/>
        <w:bidi w:val="0"/>
        <w:spacing w:before="120" w:after="0"/>
        <w:jc w:val="left"/>
        <w:rPr>
          <w:rFonts w:ascii="Times New Roman" w:hAnsi="Times New Roman"/>
          <w:sz w:val="20"/>
        </w:rPr>
      </w:pPr>
      <w:r>
        <w:rPr>
          <w:rFonts w:ascii="Times New Roman" w:hAnsi="Times New Roman"/>
          <w:sz w:val="20"/>
        </w:rPr>
        <w:t>(c) Neither the Company nor any of its Subsidiaries has any outstanding Indebtedness, the holders of which have the right to vote (or which are convertible into, exchangeable into or exchangeable for, securities having the right to vote) on any matters on which holders of Company Common Stock may vote (“</w:t>
      </w:r>
      <w:r>
        <w:rPr>
          <w:rFonts w:ascii="Times New Roman" w:hAnsi="Times New Roman"/>
          <w:sz w:val="20"/>
          <w:u w:val="single"/>
        </w:rPr>
        <w:t>Voting Company Debt</w:t>
      </w:r>
      <w:r>
        <w:rPr>
          <w:rFonts w:ascii="Times New Roman" w:hAnsi="Times New Roman"/>
          <w:sz w:val="20"/>
        </w:rPr>
        <w:t xml:space="preserve">”). Except as set forth in </w:t>
      </w:r>
      <w:r>
        <w:rPr>
          <w:rFonts w:ascii="Times New Roman" w:hAnsi="Times New Roman"/>
          <w:sz w:val="20"/>
          <w:u w:val="single"/>
        </w:rPr>
        <w:t>Section 4.02(c)</w:t>
      </w:r>
      <w:r>
        <w:rPr>
          <w:rFonts w:ascii="Times New Roman" w:hAnsi="Times New Roman"/>
          <w:sz w:val="20"/>
        </w:rPr>
        <w:t xml:space="preserve"> of the Company Disclosure Letter or as otherwise set forth above, as of the Measurement Time, there were no options, warrants, rights, convertible or exchangeable securities, stock-based performance units, phantom units, stock appreciation rights, Contracts, agreements, arrangements or undertakings of any kind to which the Company is a party or by which the Company is bound (i) obligating the Company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the Company or of any of its Subsidiaries or any Voting Company Debt, (ii) obligating the Company to issue, grant or enter into any such option, warrant, right, security, unit, Contract, agreement, arrangement or undertaking, or (iii) that give any Person the right to receive any economic interest of a nature accruing to the holders of Company Common Stock, and since the Measurement Time, none of the foregoing has been issued, agreed or entered into. There are no outstanding contractual obligations of the Company to repurchase, redeem or otherwise acquire any shares of capital stock or options, warrants, rights, convertible or exchangeable securities, stock-based performance units or other rights to acquire shares of capital stock or voting securities of or equity interests in the Company, other than pursuant to the Equity Plans. There are no agreements or arrangements under which the Company or any of its Subsidiaries is obligated to register the sale of any of their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Equity-Based Awards are evidenced by written award agreements, in each case, substantially in the forms that have been made available to Parent, except that such agreements may differ from such forms with respect to the number of Company Stock Options and Company RSUs or shares of Company Common Stock covered thereby, the exercise price (if applicable), the vesting schedule, the expiration date applicable thereto and other similar terms.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4.02(e)</w:t>
      </w:r>
      <w:r>
        <w:rPr>
          <w:rFonts w:ascii="Times New Roman" w:hAnsi="Times New Roman"/>
          <w:sz w:val="20"/>
        </w:rPr>
        <w:t xml:space="preserve"> of the Company Disclosure Letter contains a correct and complete list, as of the Measurement Time, of the name (or employee identification number) of each holder of Equity-Based Awards, the issue or grant date of each such Equity-Based Award, the number of shares of Company Common Stock such holder is entitled to receive upon the exercise of each Company Stock Option and settlement of each Company RSU and, in the case of any Company Stock Option, the corresponding exercise price, the expiration date of each Company Stock Option, the vesting schedule of each Equity-Based Award and the Equity Plan under which any Company Stock Option was granted and whether such Company Stock Option is intended to be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4.03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corporate authority to execute and deliver this Agreement and to perform its obligations hereunder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and, subject to the receipt of the Company Stockholder Approval, to consummate the transactions contemplated by this Agreement. The execution, delivery and performance by the Company of this Agreement,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the consummation by it of the transactions contemplated by this Agreement, have been duly authorized by the Board and, except for obtaining the Company Stockholder Approval and filing the Certificate of Merger with the DE SOS pursuant to the DGCL, no other corporate action on the part of the Company is necessary to authorize the execution, delivery and performance by the Company of this Agreement and the consummation by it of the transactions contemplated by this Agreement. This Agreement has been duly executed and delivered by the Company and, assuming due authorization, execution and delivery hereof by each of the other parties hereto, constitutes a legal, valid and binding obligation of the Company, enforceable against the Company in accordance with its terms, except that such enforceability may be limited by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Special Committee, at a meeting duly called and held has unanimously (i) determined that (A) this Agreement and the transactions contemplated hereby are fair to, advisable and in the best interests of, the Company and the Disinterested Stockholders and (B) it is advisable and in the best interests of the Company and the Disinterested Stockholders for the Company to enter into this Agreement and consummate the transactions contemplated hereby and (ii) made the Special Committee Recommendation. The Special Committee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(c) The Board, at a meeting duly called and held, acting upon the Special Committee Recommendation, with certain directors recusing themselves from the vote, has (i) determined that this Agreement and the transactions contemplated hereby are fair to, advisable and in the best interests of, the Company and its stockholders, including the Disinterested Stockholders,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its stockholders, including the Disinterested Stockholders, for the Company to enter into this Agreement and consummate the transactions contemplated hereby, (iii)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(iv) made the Company Board Recommendation and (v) directed that this Agreement and the transactions contemplated hereby be submitted to the stockholders of the Company for adoption and approval. The Company Board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The Company Requisite Stockholder Approvals are the only votes of the holders of any class or series of shares of or capital stock of the Company necessary to adopt this Agreement, approve the transactions contemplated hereby and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(e) The execution and delivery by the Company of this Agreement do not, and the consummation of the transactions contemplated by this Agreement, and compliance with the provisions of this Agreement will not, conflict with, or result in any violation or breach of, or default (with or without notice or lapse of time, or both) under, or give rise to a right of termination, cancellation, first offer, first refusal, modification or acceleration of any material right or obligation or to the loss of a material benefit under, or result in the creation of any Lien (other than Permitted Liens) upon any of the properties or assets of the Company or any of its Subsidiaries under (other than any such Lien created as a result of any action taken by Parent, Intermediate, or Merger Sub), or result in any loss, suspension, limitation or impairment of any right of the Company or any of its Subsidiaries to own or use any assets for the conduct of their respective businesses under, any provision of (i) the Company Charter Documents or the comparable organizational documents of any of its Subsidiaries, or (ii) (A) any Company Material Contract and any Permit to which the Company or any of its Subsidiaries is a party or by which any of their respective properties or assets are bound or (B) subject to the filings and other matters referred to in </w:t>
      </w:r>
      <w:r>
        <w:rPr>
          <w:rFonts w:ascii="Times New Roman" w:hAnsi="Times New Roman"/>
          <w:sz w:val="20"/>
          <w:u w:val="single"/>
        </w:rPr>
        <w:t>Section 4.04</w:t>
      </w:r>
      <w:r>
        <w:rPr>
          <w:rFonts w:ascii="Times New Roman" w:hAnsi="Times New Roman"/>
          <w:sz w:val="20"/>
        </w:rPr>
        <w:t xml:space="preserve">, any Law or Governmental Order, in each case, applicable to the Company or any of its Subsidiaries or any of their respective properties or assets, other than, in the case of the foregoing </w:t>
      </w:r>
      <w:r>
        <w:rPr>
          <w:rFonts w:ascii="Times New Roman" w:hAnsi="Times New Roman"/>
          <w:sz w:val="20"/>
          <w:u w:val="single"/>
        </w:rPr>
        <w:t>clause (ii)</w:t>
      </w:r>
      <w:r>
        <w:rPr>
          <w:rFonts w:ascii="Times New Roman" w:hAnsi="Times New Roman"/>
          <w:sz w:val="20"/>
        </w:rPr>
        <w:t xml:space="preserve">, any such conflicts, violations, breaches, defaults, rights, losses, Liens, suspensions, limitations or impairments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4.04 </w:t>
      </w:r>
      <w:r>
        <w:rPr>
          <w:rFonts w:ascii="Times New Roman" w:hAnsi="Times New Roman"/>
          <w:sz w:val="20"/>
          <w:u w:val="single"/>
        </w:rPr>
        <w:t>Governmental Approvals</w:t>
      </w:r>
      <w:r>
        <w:rPr>
          <w:rFonts w:ascii="Times New Roman" w:hAnsi="Times New Roman"/>
          <w:sz w:val="20"/>
        </w:rPr>
        <w:t>. Except for (a) compliance with the applicable requirements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including the filing with the Securities and Exchange Commission (the “</w:t>
      </w:r>
      <w:r>
        <w:rPr>
          <w:rFonts w:ascii="Times New Roman" w:hAnsi="Times New Roman"/>
          <w:sz w:val="20"/>
          <w:u w:val="single"/>
        </w:rPr>
        <w:t>SEC</w:t>
      </w:r>
      <w:r>
        <w:rPr>
          <w:rFonts w:ascii="Times New Roman" w:hAnsi="Times New Roman"/>
          <w:sz w:val="20"/>
        </w:rPr>
        <w:t>”) of a proxy statement relating to the Company Stockholders’ Meeting (as amended or supplemented from time to time in accordance with the terms hereof, the “</w:t>
      </w:r>
      <w:r>
        <w:rPr>
          <w:rFonts w:ascii="Times New Roman" w:hAnsi="Times New Roman"/>
          <w:sz w:val="20"/>
          <w:u w:val="single"/>
        </w:rPr>
        <w:t>Proxy Statement</w:t>
      </w:r>
      <w:r>
        <w:rPr>
          <w:rFonts w:ascii="Times New Roman" w:hAnsi="Times New Roman"/>
          <w:sz w:val="20"/>
        </w:rPr>
        <w:t>”) and the Schedule 13E-3, (b) compliance with the rules and regulations of the NASDAQ Global Select Market (“</w:t>
      </w:r>
      <w:r>
        <w:rPr>
          <w:rFonts w:ascii="Times New Roman" w:hAnsi="Times New Roman"/>
          <w:sz w:val="20"/>
          <w:u w:val="single"/>
        </w:rPr>
        <w:t>Nasdaq</w:t>
      </w:r>
      <w:r>
        <w:rPr>
          <w:rFonts w:ascii="Times New Roman" w:hAnsi="Times New Roman"/>
          <w:sz w:val="20"/>
        </w:rPr>
        <w:t xml:space="preserve">”), (c) the filing of the Certificate of Merger with the DE SOS pursuant to the DGCL and of appropriate documents with the relevant authorities of other jurisdictions in which the Company or any of its Subsidiaries is qualified to do business,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registration with, any Governmental Authority is necessary for the execution and delivery of this Agreement by the Company, the performance by the Company of its obligations hereunder and the consummation by the Company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4.05 </w:t>
      </w:r>
      <w:r>
        <w:rPr>
          <w:rFonts w:ascii="Times New Roman" w:hAnsi="Times New Roman"/>
          <w:sz w:val="20"/>
          <w:u w:val="single"/>
        </w:rPr>
        <w:t>Company SEC Documents; Undisclosed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has filed all reports, schedules, forms, statements and other documents with the SEC required to be filed by the Company with the SEC pursuant to the Securities Act or the Exchange Act since January 1, 2024 (the “</w:t>
      </w:r>
      <w:r>
        <w:rPr>
          <w:rFonts w:ascii="Times New Roman" w:hAnsi="Times New Roman"/>
          <w:sz w:val="20"/>
          <w:u w:val="single"/>
        </w:rPr>
        <w:t>Company SEC Documents</w:t>
      </w:r>
      <w:r>
        <w:rPr>
          <w:rFonts w:ascii="Times New Roman" w:hAnsi="Times New Roman"/>
          <w:sz w:val="20"/>
        </w:rPr>
        <w:t xml:space="preserve">”). As of their respective effective dates (in the case of Company SEC Documents that are registration statements filed pursuant to the requirements of the Securities Act) and as of their respective SEC filing dates or, if amended or supplemented prior to the date hereof, the date of the filing of such amendment or supplement, with respect to the portion that are amended or supplemented (in the case of all other Company SEC Documents), the Company SEC Documents complied as to form in all material respects with the requirements of the Securities Act or the Exchange Act, as the case may be, and the rules and regulations of the SEC promulgated thereunder applicable thereto, the applicable requirements of Nasdaq and the Sarbanes-Oxley Act of 2002. Except to the extent amended or superseded by a subsequent filing with the SEC prior to the date of this Agreement, as of such respective dates, none of the Company SEC Documents contained any untrue statement of a material fact or omitted to state a material fact required to be stated therein or necessary in order to make the statements therein, in light of the circumstances under which they were made, not misleading. None of the Company’s Subsidiaries is subject to the periodic reporting requirements of the Exchange Act. As of the date hereof, there are no outstanding or unresolved comments from the SEC staff with respect to any of the Company SEC Documents.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audited consolidated financial statements and the unaudited quarterly financial statements (including, in each case, the notes thereto) of the Company included in the Company SEC Documents when filed complied as to form in all material respects with the published rules and regulations of the SEC with respect thereto, have been prepared in all material respects in accordance with GAAP (except, in the case of unaudited quarterly statements, to the extent permitted by Form 10-Q of the SEC or other rules and regulations of the SEC) applied on a consistent basis during the periods involved (except as may be indicated in the notes thereto) and fairly present in all material respects the consolidated financial position of the Company and its consolidated Subsidiaries as of the dates thereof and the consolidated results of their operations and cash flows for the periods then ended (subject, in the case of unaudited quarterly statements, to normal year-end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(c) Except to the extent specifically reflected or reserved against in the consolidated balance sheet of the Company set forth in the Company’s Form 10-K for the year ended December 31, 2025, none of the Company or any of its Subsidiaries has any liabilities or obligations (whether absolute, accrued, contingent, fixed or otherwise) of any nature, and there is no existing condition, situation, or set of circumstances that would reasonably be expected to result in any such liabilities or obligations, except liabilities and obligations that (i) were incurred since the date of such balance sheet in the ordinary course of business or (ii) are incurred directly as a result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Internal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its Subsidiaries have established and maintained a system of internal control over financial reporting (as defined in Rule 13a-15(f) promulgated under the Exchange Act), which are designed to provide reasonable assurance regarding the reliability of the Company’s financial reporting and the preparation of Company financial statements for external purposes in accordance with GAAP. Since January 1, 2024, neither the Company nor, to the Company’s Knowledge, the Company’s independent registered public accounting firm, has identified or been made aware of (A) any “significant deficiencies” or “material weaknesses” (as defined by the Public Company Accounting Oversight Board) in the design or operation of the Company’s internal controls over financial reporting that are reasonably likely to adversely affect in any material respect the Company’s ability to record, process, summarize and report financial information, (B) any fraud, whether or not material, that involves (or involved) the management or other employees of the Company who have (or had) a significant role in the Company’s internal controls or (C) any claims or allegations regarding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each case which has not been subsequently remediated.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established and maintains disclosure controls and procedures (as such term is defined in Rule 13a-15(e) promulgated under the Exchange Act), which are designed to ensure that material information relating to the Company required to be included in reports filed under the Exchange Act, including its consolidated Subsidiaries, is recorded, processed, summarized and reported within the time periods specified in the rules and forms of the SEC, including that such information is accumulated and communicated to the Company’s principal executive officer and its principal financial officer, and such disclosure controls and procedures are effective to allow for timely decisions by the Company’s principal executive officer and its principal financial officer regarding material information required to be disclosed by the Company in the reports that it files or submits to the SEC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(iii) Since January 1, 2024, neither the Company nor any of its Subsidiaries has made any prohibited loans or similar arrangements to any executive officer of the Company (as defined in Rule 3b-7 promulgated under the Exchange Act) or director of the Company. There are no outstanding loans or similar arrangements, or other extensions of credit made by the Company or any of its Subsidiaries to any executive officer (as defined in Rule 3b-7 promulgated under the Exchange Act) or director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2024, the Company has complied with the applicable listing requirements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4.06 </w:t>
      </w:r>
      <w:r>
        <w:rPr>
          <w:rFonts w:ascii="Times New Roman" w:hAnsi="Times New Roman"/>
          <w:sz w:val="20"/>
          <w:u w:val="single"/>
        </w:rPr>
        <w:t>Absence of Certain Changes</w:t>
      </w:r>
      <w:r>
        <w:rPr>
          <w:rFonts w:ascii="Times New Roman" w:hAnsi="Times New Roman"/>
          <w:sz w:val="20"/>
        </w:rPr>
        <w:t xml:space="preserve">. Since December 31, 2025, (a) the Company and its Subsidiaries have conducted their businesses in all material respects only in the ordinary course of business, (b) there has not been any change, effect, event, circumstance, occurrence or fact that has had or would reasonably be expected to have, individually or in the aggregate, a Material Adverse Effect and (c) except as set forth on </w:t>
      </w:r>
      <w:r>
        <w:rPr>
          <w:rFonts w:ascii="Times New Roman" w:hAnsi="Times New Roman"/>
          <w:sz w:val="20"/>
          <w:u w:val="single"/>
        </w:rPr>
        <w:t>Section 4.06(c)</w:t>
      </w:r>
      <w:r>
        <w:rPr>
          <w:rFonts w:ascii="Times New Roman" w:hAnsi="Times New Roman"/>
          <w:sz w:val="20"/>
        </w:rPr>
        <w:t xml:space="preserve"> of the Company Disclosure Letter, there has not been any action or event nor any authorization, commitment or agreement by the Company or any of its Subsidiaries with respect to any action or event that, if taken or if it occurred after the date hereof, would be prohibited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4.07 </w:t>
      </w:r>
      <w:r>
        <w:rPr>
          <w:rFonts w:ascii="Times New Roman" w:hAnsi="Times New Roman"/>
          <w:sz w:val="20"/>
          <w:u w:val="single"/>
        </w:rPr>
        <w:t>Legal Proceedings</w:t>
      </w:r>
      <w:r>
        <w:rPr>
          <w:rFonts w:ascii="Times New Roman" w:hAnsi="Times New Roman"/>
          <w:sz w:val="20"/>
        </w:rPr>
        <w:t>. There is no, and since January 1, 2024 there has been no, suit, claim (or counterclaim), litigation, action, charge, complaint, audit, investigation, arbitration, inquiry, mediation, grievance or other proceeding brought, conducted or heard by or before any court or other Governmental Authority, arbitrator or mediator or arbitration or mediation panel (each, an “</w:t>
      </w:r>
      <w:r>
        <w:rPr>
          <w:rFonts w:ascii="Times New Roman" w:hAnsi="Times New Roman"/>
          <w:sz w:val="20"/>
          <w:u w:val="single"/>
        </w:rPr>
        <w:t>Action</w:t>
      </w:r>
      <w:r>
        <w:rPr>
          <w:rFonts w:ascii="Times New Roman" w:hAnsi="Times New Roman"/>
          <w:sz w:val="20"/>
        </w:rPr>
        <w:t xml:space="preserve">”) pending or, to the Knowledge of the Company, threatened against the Company or any of its Subsidiaries or any of their respective businesses or assets that, individually or in the aggregate, would reasonably be expected to have a Material Adverse Effect. As of the date hereof, there is no Action pending or, to the Knowledge of the Company, threatened against the Company or any of its Subsidiaries or any of their respective businesses or assets that, individually or in the aggregate, challenges the validity or propriety, or seeks to prevent, materially impair or materially delay the consummation of the Merger or any other transaction contemplated by this Agreement. There is no, and since the date three years immediately prior to the date hereof there has been no, Action pending on behalf of the Company or any of its Subsidiaries against a Third Party which would reasonably be expected to have a Material Adverse Effect. There is no Governmental Order outstanding against the Company or any of its Subsidiaries that, individually or in the aggregate, (x) prohibits or restricts the Company or any of its Subsidiaries from engaging in or otherwise conducting its business as presently or proposed to be conducted or (y)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Company and its Subsidiaries is, and has at all times since January 1, 2024 been, in compliance with all Laws applicable to the Company, its Subsidiaries and the Company’s and its Subsidiaries’ business or operations and, to the Company’s Knowledge, no condition or state of facts exists that is reasonably likely to give rise to a violation of, or a liability or default under any applicable Law or Governmental Order, in each case, other than as would not reasonably be expected to have, individually or in the aggregate, a Material Adverse Effect. Each of the Company and its Subsidiaries possesses and is in compliance with all franchises, tariffs, approvals, clearances, grants, authorizations, certifications, representations, registrations (whether granted or pending), licenses, exemptions, permits, easements, variances, certificates, orders and consents of Governmental Authorities relating to the industries in which the Company and each of its Subsidiaries operate or necessary for each of them to own, lease and operate its properties and to lawfully conduct its business as presently conducted (collectively, “</w:t>
      </w:r>
      <w:r>
        <w:rPr>
          <w:rFonts w:ascii="Times New Roman" w:hAnsi="Times New Roman"/>
          <w:sz w:val="20"/>
          <w:u w:val="single"/>
        </w:rPr>
        <w:t>Permits</w:t>
      </w:r>
      <w:r>
        <w:rPr>
          <w:rFonts w:ascii="Times New Roman" w:hAnsi="Times New Roman"/>
          <w:sz w:val="20"/>
        </w:rPr>
        <w:t xml:space="preserve">”), except where the failure to be in possession of or be in compliance with such Permits would not reasonably be expected to have, individually or in the aggregate, a Material Adverse Effect. None of the Company or any of its Subsidiaries has, since January 1, 2024, received written notice from a Governmental Authority that any such Permits will be suspended, terminated or materially modified.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Company or its Subsidiaries has received any written notice regarding any actual or alleged violation of, or failure to comply with, any Permit or any Law, applicable to the Company, its Subsidiaries or by which any properties or assets owned or used by the Company or any of its Subsidiaries are bound or affected, except where such suspension, cancellation or noncompliance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maintains a code of conduct, a true and correct copy of which has been provided to Parent. The Company is, and since January 1, 2024, has been, in compliance with its code of conduct, except where such noncompliance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its Subsidiaries and their respective Affiliates and Representatives (with respect to Representatives, acting in their capacities as such on behalf of the Company and its Subsidiaries) are, and since January 1, 2024, have been, in compliance with (i) applicable International Trade Laws, including obtaining any licenses, registrations, or other authorizations necessary for compliance with such International Trade Laws, and (ii) all applicable Anti-Corruption Laws and Anti-Money Laundering Laws except, in each case, where any such violation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Company, its Subsidiaries or any of their respective Affiliates or Representatives is or has been (i) a Sanctioned Person, or (ii) since January 1, 2024, directly or indirectly unlawfully operating in, conducting business with, or engaging in any dealings with any Sanctioned Person or in any Sanctioned Jurisdiction, or that would otherwise be in material violation of applicable International Trade Law.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Company, its Subsidiaries or any of their respective Affiliates or Representatives (with respect to Representatives, acting in their capacities as such on behalf of the Company or its Subsidiaries), is or has been, since January 1, 2024, the subject of any Action or (to the Knowledge of the Company) investigation or enforcement action involving any International Trade Laws, Anti-Corruption Laws, or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its Subsidiaries maintain in effect policies and procedures reasonably designed to promote compliance with International Trade Laws, which include adequate controls over physical, visual, and electronic access to export controlled information and technology to ensure that access by foreign Persons, wherever located, is restricted as required by applicable International Trade Laws. </w:t>
      </w:r>
    </w:p>
    <w:p>
      <w:pPr>
        <w:pStyle w:val="TextBody"/>
        <w:bidi w:val="0"/>
        <w:spacing w:before="120" w:after="0"/>
        <w:jc w:val="left"/>
        <w:rPr>
          <w:rFonts w:ascii="Times New Roman" w:hAnsi="Times New Roman"/>
          <w:sz w:val="20"/>
        </w:rPr>
      </w:pPr>
      <w:r>
        <w:rPr>
          <w:rFonts w:ascii="Times New Roman" w:hAnsi="Times New Roman"/>
          <w:sz w:val="20"/>
        </w:rPr>
        <w:t xml:space="preserve">(h) None of the Company, its Subsidiaries or any of their respective Affiliates or Representatives, has (i) made an offer, payment, promise to pay or authorization or approval of the payment of any money, or other property, gift, promise to give or authorization of the giving of anything of value, directly or indirectly, to any Person, including any “foreign person” (as such term is defined in the U.S. Foreign Corrupt Practices Act of 1977), to obtain or retain business, to direct business to any of the Company, its Subsidiaries or to any other Person or to secure any improper advantage, in each case, in violation of any applicable Anti-Corruption Law or (ii) acted in any other manner that would constitute or give rise to a material violation of any applicable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has prepared (or caused to be prepared) and timely filed (taking into account valid extensions of time within which to file) with the appropriate Governmental Authority all material Tax Returns required to be filed by it, and all such filed Tax Returns (taking into account all amendments thereto) are true, complete and accurate in all material respects and have been prepared in substantial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owed by the Company or any of its Subsidiaries that are due and payable have been timely paid or have been adequately reserved against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(c) Each of the Company and its Subsidiaries has timely paid or withheld with respect to their employees and other third Persons (and paid over any amounts withheld to the appropriate Tax authority) all material Taxes required to be paid or withheld.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neither the Company nor any of its Subsidiaries is currently subject to or has received written notice from any Governmental Authority of any audits, examinations, investigations, proposed adjustments, claims or other proceedings in respect of any Taxes. </w:t>
      </w:r>
    </w:p>
    <w:p>
      <w:pPr>
        <w:pStyle w:val="TextBody"/>
        <w:bidi w:val="0"/>
        <w:spacing w:before="120" w:after="0"/>
        <w:jc w:val="left"/>
        <w:rPr>
          <w:rFonts w:ascii="Times New Roman" w:hAnsi="Times New Roman"/>
          <w:sz w:val="20"/>
        </w:rPr>
      </w:pPr>
      <w:r>
        <w:rPr>
          <w:rFonts w:ascii="Times New Roman" w:hAnsi="Times New Roman"/>
          <w:sz w:val="20"/>
        </w:rPr>
        <w:t xml:space="preserve">(e) In the past three years, no written claim has been made by a Governmental Authority in a jurisdiction where the Company or its Subsidiaries do not file Tax Returns that the Company or such Subsidiary, as the case may be, is or may be subject to income or other material taxation in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been a “controlled corporation” or a “distributing corporation” (within the meaning of Section 355(a)(1)(A) of the Code) in any distribution occurring during the two-year period ending on the date of this Agreement that was purported or intended to be governed by Section 355 of the Code (or any similar provision of state, local or non-U.S. Law) or any distribution that otherwise constitutes part of a “plan” or “series of related transactions” (within the meaning of Section 355(e) of the Code) that includes the transaction herein. </w:t>
      </w:r>
    </w:p>
    <w:p>
      <w:pPr>
        <w:pStyle w:val="TextBody"/>
        <w:bidi w:val="0"/>
        <w:spacing w:before="120" w:after="0"/>
        <w:jc w:val="left"/>
        <w:rPr>
          <w:rFonts w:ascii="Times New Roman" w:hAnsi="Times New Roman"/>
          <w:sz w:val="20"/>
        </w:rPr>
      </w:pPr>
      <w:r>
        <w:rPr>
          <w:rFonts w:ascii="Times New Roman" w:hAnsi="Times New Roman"/>
          <w:sz w:val="20"/>
        </w:rPr>
        <w:t xml:space="preserve">(g) In the past three years, neither the Company nor any of its Subsidiaries has been a member of an affiliated group of corporations filing a consolidated federal income Tax Return (other than a group the common parent of which is the Company) or has any material liability for Taxes of any Person (other than the Company or any of its Subsidiaries) under Treasury Regulations Section 1.1502-6 (or any similar provision of any state, local or non-U.S. Law) or as a transferee or successor, other than ordinary course commercial agreements not primarily related to Taxes. </w:t>
      </w:r>
    </w:p>
    <w:p>
      <w:pPr>
        <w:pStyle w:val="TextBody"/>
        <w:bidi w:val="0"/>
        <w:spacing w:before="120" w:after="0"/>
        <w:jc w:val="left"/>
        <w:rPr>
          <w:rFonts w:ascii="Times New Roman" w:hAnsi="Times New Roman"/>
          <w:sz w:val="20"/>
        </w:rPr>
      </w:pPr>
      <w:r>
        <w:rPr>
          <w:rFonts w:ascii="Times New Roman" w:hAnsi="Times New Roman"/>
          <w:sz w:val="20"/>
        </w:rPr>
        <w:t xml:space="preserve">(h) Neither the Company nor any of its Subsidiaries is a party to, or bound by, or has any material obligation under, any Tax sharing, allocation or indemnification agreement other than (i) agreements solely among the Company and its Subsidiaries and (ii) customary Tax indemnification provisions in any Contract the primary purpose of which does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has waived any statute of limitations in respect of any income or other material Taxes or agreed to any extension of time with respect to an assessment or deficiency for any income or other material Taxes (other than pursuant to extensions of time to file Tax Returns obtained in the ordinary course) that is still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Neither the Company nor any of its Subsidiaries has participated in (within the meaning of Treasury Regulations Section 1.6011-4(c)(3)) any “reportable transaction” as defined in Section 6707A(c)(1) of the Code and Treasury Regulation Section 1.6011-4(b). </w:t>
      </w:r>
    </w:p>
    <w:p>
      <w:pPr>
        <w:pStyle w:val="TextBody"/>
        <w:bidi w:val="0"/>
        <w:spacing w:before="120" w:after="0"/>
        <w:jc w:val="left"/>
        <w:rPr>
          <w:rFonts w:ascii="Times New Roman" w:hAnsi="Times New Roman"/>
          <w:sz w:val="20"/>
        </w:rPr>
      </w:pPr>
      <w:r>
        <w:rPr>
          <w:rFonts w:ascii="Times New Roman" w:hAnsi="Times New Roman"/>
          <w:sz w:val="20"/>
        </w:rPr>
        <w:t xml:space="preserve">(k) Except as would not, individually or in the aggregate, have a Material Adverse Effect, neither the Company nor any of its Subsidiaries (or the Surviving Corporation as a result of this transaction) will be required to include any item of income in, or exclude any item of deduction from, taxable income for any taxable period (or portion thereof) beginning or ending after the Closing Date as a result of any (i) change in method of accounting for a taxable period ending on or prior to the Closing Date; (ii) “closing agreement” as described in Code Section 7121 (or any corresponding or similar provision of state, local or non-U.S. Law) or other written agreement with a Governmental Authority regarding Taxes or Tax matters; (iii) installment sale or open transaction disposition made prior to the Closing Date; (iv) prepaid amount received or deferred revenue accrued on or prior to the Closing Date; (v) use of an improper method of accounting for a taxable period ending on or prior to the Closing Date; (vi) election under Code Section 965(h) (or any corresponding provision of applicable Law) made in a period or portion thereof ending on or prior to the Closing Date; (vii) gain recognition agreement under Code Section 367 (or any corresponding provisions of applicable Law); or (viii) intercompany transaction entered into prior to the Closing Date or any excess loss account described in Treasury Regulations under Code Section 1502 (or any corresponding provisions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(l) There are no Liens (other than Permitted Liens) for Taxes on any asset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Section 4.09(m)</w:t>
      </w:r>
      <w:r>
        <w:rPr>
          <w:rFonts w:ascii="Times New Roman" w:hAnsi="Times New Roman"/>
          <w:sz w:val="20"/>
        </w:rPr>
        <w:t xml:space="preserve"> of the Company Disclosure Letter sets forth the U.S. federal income tax classification and jurisdiction of formation of each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The Company and each of its Subsidiaries has (i) timely paid all material sales and use Taxes required to be paid under applicable Law, (ii) properly collected and remitted all material sales and use Taxes required under applicable Law and (iii) for all sales that are exempt from sales Taxes and that were made without charging or remitting sales or similar Taxes, received and retained any appropriate Tax exemption certificates and other documentation qualifying such sale as exempt.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Insurance</w:t>
      </w:r>
      <w:r>
        <w:rPr>
          <w:rFonts w:ascii="Times New Roman" w:hAnsi="Times New Roman"/>
          <w:sz w:val="20"/>
        </w:rPr>
        <w:t xml:space="preserve">. Each of the Insurance Policies is valid, outstanding, enforceable and in full force and effect as of the date hereof. All premiums due and payable under such policies have been paid during the 12-month period prior to the date of this Agreement, and there are no defaults under any Insurance Policies by the Company or any of its Subsidiaries, except where any such default would not, individually or in the aggregate, reasonably be expected to have a Material Adverse Effect. Since January 1, 2024, none of the Company or any of its Subsidiaries has received any written notice of cancellation relating to any Insurance Policies, and there are no claims pending under any Insurance Policies for which coverage has been denied or disputed by the applicable insurance carrier (other than pursuant to a customary reservation of rights notice), except where any such claim would not, individually or in the aggregate, reasonably be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have a Material Adverse Effect. For purposes of this </w:t>
      </w:r>
      <w:r>
        <w:rPr>
          <w:rFonts w:ascii="Times New Roman" w:hAnsi="Times New Roman"/>
          <w:sz w:val="20"/>
          <w:u w:val="single"/>
        </w:rPr>
        <w:t>Section 4.10</w:t>
      </w:r>
      <w:r>
        <w:rPr>
          <w:rFonts w:ascii="Times New Roman" w:hAnsi="Times New Roman"/>
          <w:sz w:val="20"/>
        </w:rPr>
        <w:t>, “</w:t>
      </w:r>
      <w:r>
        <w:rPr>
          <w:rFonts w:ascii="Times New Roman" w:hAnsi="Times New Roman"/>
          <w:sz w:val="20"/>
          <w:u w:val="single"/>
        </w:rPr>
        <w:t>Insurance Policies</w:t>
      </w:r>
      <w:r>
        <w:rPr>
          <w:rFonts w:ascii="Times New Roman" w:hAnsi="Times New Roman"/>
          <w:sz w:val="20"/>
        </w:rPr>
        <w:t xml:space="preserve">” mean the material policies for insurance maintained by or for the benefit of the Company or its Subsidiaries that are used for, held for use in, or otherwise related to the respective businesses of the Company and its Subsidiaries (other than any Insurance Policy maintained in connection with a Benefit Plan).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Real Property; Personal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each of the Real Property Leases, except as would not reasonably be expected to have, individually or in the aggregate, a Material Adverse Effect: (i) the Company or the applicable Subsidiary holds a valid and enforceable leasehold interest in such Leased Real Property, in each case free and clear of all Liens, except Permitted Liens; (ii) each associated Real Property Lease is valid, binding and in full force and effect against the Company or the Subsidiary, as applicable, and to the Knowledge of the Company, the other parties thereto, and is enforceable by the Company or the Subsidiary, as applicable, in accordance with its terms, subject to the Enforceability Exceptions; (iii) neither the Company (or the Subsidiary, as applicable) nor, to the Knowledge of the Company, any other party to a Real Property Lease, is in material default or breach of such Real Property Lease; (iv) no event has occurred which (with notice, lapse of time or both) would constitute a material breach or default thereunder by the Company (or the Subsidiary, as applicable) or, to the Knowledge of the Company, any other party thereto; (v) neither the Company nor any Subsidiary is a sublessor or grantor under any sublease or other instrument granting to any other Person any right to the possession, lease, occupancy or enjoyment of any Leased Real Property or any portion thereof; (vi) the other party to the associated Real Property Lease is not an Affiliate of the Company or any Subsidiary, and otherwise does not have any economic interest in, the Company or any Subsidiary; and (vii) neither the Company nor any Subsidiary has collaterally assigned or granted any security interest in any Leased Real Property or any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fee title to all of the Owned Real Property of such Person, free and clear of any Lien other than Permitted Liens. Neither the Company nor any of its Subsidiaries have leased or otherwise granted to any Person the right to use or occupy any portion of the Owned Real Property, and there are no outstanding options, rights of first offer or rights of first refusal to purchase any Owned Real Property or any portion thereof or interest therein. Neither the Company nor any of the Subsidiaries are a party to any Contract providing the Company or any Subsidiary with the right or obligation to purchase from another Person any real property or any interest in real property. </w:t>
      </w:r>
    </w:p>
    <w:p>
      <w:pPr>
        <w:pStyle w:val="TextBody"/>
        <w:bidi w:val="0"/>
        <w:spacing w:before="120" w:after="0"/>
        <w:jc w:val="left"/>
        <w:rPr>
          <w:rFonts w:ascii="Times New Roman" w:hAnsi="Times New Roman"/>
          <w:sz w:val="20"/>
        </w:rPr>
      </w:pPr>
      <w:r>
        <w:rPr>
          <w:rFonts w:ascii="Times New Roman" w:hAnsi="Times New Roman"/>
          <w:sz w:val="20"/>
        </w:rPr>
        <w:t>(c) All buildings, structures, improvements, fixtures, building systems, machinery and equipment, and all components thereof, included in the Leased Real Property and the Owned Real Property (the “</w:t>
      </w:r>
      <w:r>
        <w:rPr>
          <w:rFonts w:ascii="Times New Roman" w:hAnsi="Times New Roman"/>
          <w:sz w:val="20"/>
          <w:u w:val="single"/>
        </w:rPr>
        <w:t>Improvements</w:t>
      </w:r>
      <w:r>
        <w:rPr>
          <w:rFonts w:ascii="Times New Roman" w:hAnsi="Times New Roman"/>
          <w:sz w:val="20"/>
        </w:rPr>
        <w:t xml:space="preserve">”) are in adequate condition and repair and sufficient for the current operation of the business of the Company and the Subsidiaries, subject to normal wear and tear. To the Knowledge of the Company, there are no structural deficiencies or latent defects affecting any of the Improvements (ordinary wear and tear excepted) that would materially impair the current operation of the Company’s business. None of the Leased Real Property or the Owned Real Property has been materially damaged or destroyed by fire or other casualty that has not been restored. There is no condemnation, expropriation or other proceeding in eminent domain pending affecting Owned Real Property and to the Knowledge of the Company, any Leased Real Property, nor, to the Knowledge of the Company, is any such condemnation, expropriation or other proceeding in eminent domain threatened, affecting Owned Real Property or any Leased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Environmental Matters</w:t>
      </w:r>
      <w:r>
        <w:rPr>
          <w:rFonts w:ascii="Times New Roman" w:hAnsi="Times New Roman"/>
          <w:sz w:val="20"/>
        </w:rPr>
        <w:t xml:space="preserve">. Except as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2024 have been, in compliance with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of its Subsidiaries hold, and since January 1, 2024 have held, all Permits under Environmental Laws required for each of their operations and since January 1, 2024 have been in compliance with all applicable terms and conditions of such Permits;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2024, neither the Company nor any of its Subsidiaries have received any written notice that remains unresolved and asserts Liability arising from or relating to any Hazardous Substances or alleged violation of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(d) There is no Action pending or, to the Company’s Knowledge, threatened against the Company or any of its Subsidiaries that arises out of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nor to the Knowledge of the Company any other Person, has caused or contributed to any Release of Hazardous Substances at, on or from any location (including any real property currently or formerly owned, leased or operated by any of the Company or any of its Subsidiaries) that would reasonably be expected to result in Liability being imposed upon any of the Company or any of its Subsidiaries under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are subject to any outstanding obligations pursuant to a consent decree, order or settlement pursuant to any Environmental Law; and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neither the Company nor any of its Subsidiaries have exposed any Person to any Hazardous Substances in connection with the use, application, malfunction, defect, design, operation, performance or suitability of any product of the Company or its Subsidiaries or service of the Company or its Subsidiaries in a manner that would reasonably be expected to result in Liability being imposed upon the Company or any of its Subsidiaries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Company Disclosure Letter sets forth a list of all of the following Contracts to which the Company or any of its Subsidiaries is a party or by which any of the Company or any of its Subsidiaries or any of their respective assets is bound as of the date hereof (each, a “</w:t>
      </w:r>
      <w:r>
        <w:rPr>
          <w:rFonts w:ascii="Times New Roman" w:hAnsi="Times New Roman"/>
          <w:sz w:val="20"/>
          <w:u w:val="single"/>
        </w:rPr>
        <w:t>Company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Contract that limits, in any material respect, the freedom or ability of the Company or any of its Subsidiaries to conduct any line of business or compete with any Person in any geographical area or that grants any customer or supplier of the Company or any of its Subsidiaries exclusivity or a right to “most favored nation” pricing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Contract for the sale of any of the assets of the Company or any of its Subsidiaries (other than the sale of inventory or rental equipment in the ordinary course of business consistent with past practice) for consideration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 Company Significant Supplier or a Company Significant Customer (other than purchase orders or invoices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that relates to a partnership, joint venture, strategic alliance, limited liability company, research and development project or similar arrangement or relates to the formation, creation, operation, management or control of any such partnership, joint venture, strategic alliance, limited liability company or research and development project;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(by merger, purchase of stock or assets or otherwise) by any of the Company or any of its Subsidiaries of any operating business or material assets or the capital stock of any other Person that contains material ongoing obligations or Liabilities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relating to (A) the incurrence, assumption or guarantee of any Indebtedness or (B) imposing a Lien (other than a Permitted Lien) on any of the material assets or properties of any of the Company or any of its Subsidiaries, in each case, having a principal amount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involving the licensing or sublicensing of Intellectual Property to the Company or any of its Subsidiaries (other than any Incidental License), (B) pursuant to which the Company or any of its Subsidiaries licenses to any Third Party any Owned Company Intellectual Property (other than any non-exclusive outbound license entered into in the ordinary course of business or any standard non-disclosure, confidentiality and consulting agreements entered into in the ordinary course of business), (C) involving agreements between the Company or any of its Subsidiaries and any Third Party (other than an inventions assignment agreement with an employee of the Company or any of its Subsidiaries on the Company’s or its Subsidiaries’ standard form) relating to the development of any Intellectual Property for the Company or any of its Subsidiaries that is used in and material to the business or operations of the Company or any of its Subsidiaries, or (D) involving consents, settlements, decrees, orders, injunctions, judgments or rulings governing the use, validity or enforceability of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under which the Company or any of its Subsidiaries is obligated to make any capital commitment or expenditure in excess of $1,000,000 individually or $2,000,000 in the aggregate; </w:t>
      </w:r>
    </w:p>
    <w:p>
      <w:pPr>
        <w:pStyle w:val="TextBody"/>
        <w:bidi w:val="0"/>
        <w:spacing w:before="120" w:after="0"/>
        <w:jc w:val="left"/>
        <w:rPr>
          <w:rFonts w:ascii="Times New Roman" w:hAnsi="Times New Roman"/>
          <w:sz w:val="20"/>
        </w:rPr>
      </w:pPr>
      <w:r>
        <w:rPr>
          <w:rFonts w:ascii="Times New Roman" w:hAnsi="Times New Roman"/>
          <w:sz w:val="20"/>
        </w:rPr>
        <w:t>(ix) any Contract that is between the Company or any of its Subsidiaries, on the one hand, and any of their respective officers or directors (or any such Person’s Affiliates) or any Person that holds or owns, directly or indirectly, five percent (5%) or more of the shares of the Company’s capital stock (or any Affiliates of such Person) on the other hand (each, a “</w:t>
      </w:r>
      <w:r>
        <w:rPr>
          <w:rFonts w:ascii="Times New Roman" w:hAnsi="Times New Roman"/>
          <w:sz w:val="20"/>
          <w:u w:val="single"/>
        </w:rPr>
        <w:t>Related Party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that is a lease of, or permits any third party to hold or operate, any tangible property (other than real property), owned or controlled by the Company or any of its Subsidiaries, except for any Contract under which the aggregate annual rental payments do not exceed $1,000,000;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related to the agreement to settle or compromise any pending or threatened Action or investigation and under which any of the Company or any of its Subsidiaries has material continuing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any Contract that is a settlement, conciliation or similar agreement (A) that is with any Governmental Authority, (B) pursuant to which the Company or any of its Subsidiaries is obligated after the date of this Agreement to pay consideration, or pursuant to which the Company or any of its Subsidiaries will have any material outstanding obligations after the date hereof, or (C) pursuant to which Company Common Stock would be issued to any Person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(xiv) any Contract granting to any Person a right of first refusal or right of first offer on the sale of any material part of any of the business, assets or properties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any Contract pursuant to which the Company or any of its Subsidiaries has agreed to loan any Person any material amount or otherwise make any investment in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(A) with any Governmental Authority or (B) that is a Governmental Order or similar agreement with any Governmental Authority involving future performance by the Company or any of its Subsidiaries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4.13(b)</w:t>
      </w:r>
      <w:r>
        <w:rPr>
          <w:rFonts w:ascii="Times New Roman" w:hAnsi="Times New Roman"/>
          <w:sz w:val="20"/>
        </w:rPr>
        <w:t xml:space="preserve"> of the Company Disclosure Letter or except as would not, individually or in the aggregate, reasonably be expected to have a Material Adverse Effect, (i) since January 1, 2024, none of the Company or any of its Subsidiaries have received any written notice of any intention to terminate, repudiate or disclaim, or of any default or event that (with due notice or lapse of time or both) would constitute a default by the Company or any of its Subsidiaries under any Company Material Contract, other than defaults that have been cured or waived in writing, (ii) each Company Material Contract is a legal, valid and binding obligation of the Company or its Subsidiaries, as applicable, and is in full force and effect (except to the extent subject to, and limited by, the Enforceability Exceptions), (iii) no breach in or default under any Company Material Contract by the Company or any of its Subsidiaries exists (with or without the lapse of time or the giving of notice, or both), and (iv) (A) no other party to any Company Material Contract is (with or without the lapse of time or the giving of notice, or both) in breach of or in default under any Company Material Contract; and (B) no event or circumstance has occurred that (with or without the lapse of time or the giving of notice, or both) would constitute a default or breach under any Company Material Contract or result in a termination thereof or would cause or permit the acceleration or other changes of any right or obligation or the loss of any material benefit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Labor Matters</w:t>
      </w:r>
      <w:r>
        <w:rPr>
          <w:rFonts w:ascii="Times New Roman" w:hAnsi="Times New Roman"/>
          <w:sz w:val="20"/>
        </w:rPr>
        <w:t xml:space="preserve">. Except as set forth on </w:t>
      </w:r>
      <w:r>
        <w:rPr>
          <w:rFonts w:ascii="Times New Roman" w:hAnsi="Times New Roman"/>
          <w:sz w:val="20"/>
          <w:u w:val="single"/>
        </w:rPr>
        <w:t>Section 4.14</w:t>
      </w:r>
      <w:r>
        <w:rPr>
          <w:rFonts w:ascii="Times New Roman" w:hAnsi="Times New Roman"/>
          <w:sz w:val="20"/>
        </w:rPr>
        <w:t xml:space="preserve"> of the Company Disclosure Letter and except as would not, individually or in the aggregate, reasonably be expected to have a Material Adverse Effect,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(a) Neither the Company nor any of its Subsidiaries is a party to any Collective Bargaining Agreement or other Contract with a labor union or labor organization, and no Employee is represented by any labor organization with respect to such Employee’s employment with the Company or its applicable Subsidiary; </w:t>
      </w:r>
    </w:p>
    <w:p>
      <w:pPr>
        <w:pStyle w:val="TextBody"/>
        <w:bidi w:val="0"/>
        <w:spacing w:before="120" w:after="0"/>
        <w:jc w:val="left"/>
        <w:rPr>
          <w:rFonts w:ascii="Times New Roman" w:hAnsi="Times New Roman"/>
          <w:sz w:val="20"/>
        </w:rPr>
      </w:pPr>
      <w:r>
        <w:rPr>
          <w:rFonts w:ascii="Times New Roman" w:hAnsi="Times New Roman"/>
          <w:sz w:val="20"/>
        </w:rPr>
        <w:t xml:space="preserve">(b) There is no strike or work stoppage involving any of the Company or its Subsidiaries pending or formally threatened in writing; </w:t>
      </w:r>
    </w:p>
    <w:p>
      <w:pPr>
        <w:pStyle w:val="TextBody"/>
        <w:bidi w:val="0"/>
        <w:spacing w:before="120" w:after="0"/>
        <w:jc w:val="left"/>
        <w:rPr>
          <w:rFonts w:ascii="Times New Roman" w:hAnsi="Times New Roman"/>
          <w:sz w:val="20"/>
        </w:rPr>
      </w:pPr>
      <w:r>
        <w:rPr>
          <w:rFonts w:ascii="Times New Roman" w:hAnsi="Times New Roman"/>
          <w:sz w:val="20"/>
        </w:rPr>
        <w:t xml:space="preserve">(c) No Action brought by or on behalf of any Employee, former employee, labor organization or other Representative of the Employees of the Company or any of its Subsidiaries is pending or formally threatened in writing against the Company or any of its Subsidiaries (other than ordinary workers’ compensation claims); </w:t>
      </w:r>
    </w:p>
    <w:p>
      <w:pPr>
        <w:pStyle w:val="TextBody"/>
        <w:bidi w:val="0"/>
        <w:spacing w:before="120" w:after="0"/>
        <w:jc w:val="left"/>
        <w:rPr>
          <w:rFonts w:ascii="Times New Roman" w:hAnsi="Times New Roman"/>
          <w:sz w:val="20"/>
        </w:rPr>
      </w:pPr>
      <w:r>
        <w:rPr>
          <w:rFonts w:ascii="Times New Roman" w:hAnsi="Times New Roman"/>
          <w:sz w:val="20"/>
        </w:rPr>
        <w:t xml:space="preserve">(d) There is no ongoing or threatened Action or investigation against the Company or any of its Subsidiaries with respect to any employment matter; </w:t>
      </w:r>
    </w:p>
    <w:p>
      <w:pPr>
        <w:pStyle w:val="TextBody"/>
        <w:bidi w:val="0"/>
        <w:spacing w:before="120" w:after="0"/>
        <w:jc w:val="left"/>
        <w:rPr>
          <w:rFonts w:ascii="Times New Roman" w:hAnsi="Times New Roman"/>
          <w:sz w:val="20"/>
        </w:rPr>
      </w:pPr>
      <w:r>
        <w:rPr>
          <w:rFonts w:ascii="Times New Roman" w:hAnsi="Times New Roman"/>
          <w:sz w:val="20"/>
        </w:rPr>
        <w:t xml:space="preserve">(e) No union organization campaign is in progress with respect to any Employee or group of Employees;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 Company and each of its Subsidiaries has been and is in compliance in all material respects with (i) all applicable Laws respecting employment and employment practices, terms and conditions of employment, collective bargaining, disability, immigration, health and safety, wages, hours and benefits, harassment, non-discrimination in employment, workers’ compensation, unemployment compensation and the collection and payment of withholding or payroll Taxes and similar Taxes and (ii) all obligations of such Person under any employment agreement, consulting agreement, severance agreement, Collective Bargaining Agreement or any similar employment or labor-related agreement or understanding;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2024, all independent contractors and consultants providing personal services to the Company or any of its Subsidiaries have been properly classified as independent contractors for purposes of all Laws, including Laws with respect to employee benefits, and all Employees have been properly classified under the Fair Labor Standards Act and similar state Laws; </w:t>
      </w:r>
    </w:p>
    <w:p>
      <w:pPr>
        <w:pStyle w:val="TextBody"/>
        <w:bidi w:val="0"/>
        <w:spacing w:before="120" w:after="0"/>
        <w:jc w:val="left"/>
        <w:rPr>
          <w:rFonts w:ascii="Times New Roman" w:hAnsi="Times New Roman"/>
          <w:sz w:val="20"/>
        </w:rPr>
      </w:pPr>
      <w:r>
        <w:rPr>
          <w:rFonts w:ascii="Times New Roman" w:hAnsi="Times New Roman"/>
          <w:sz w:val="20"/>
        </w:rPr>
        <w:t xml:space="preserve">(h) Since January 1, 2024, (i) a Form I-9 has been completed and retained with respect to each Employee and, where required by Law, former employees of the Company and each of its Subsidiaries, and (ii) none of the Company nor any of its Subsidiaries has been the subject of any Action assessment or judgement, nor has the Company nor any of its Subsidiaries been the subject of an investigation, inquiry or any Action assessment or judgments from the U.S. Department of Homeland Security, including the Immigration and Customs Enforcement, (or any predecessor thereto, including the U.S. Customs Service or the Immigration and Naturalization Service) or any other immigration-related enforcement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There is not currently pending, and since January 1, 2024 there have not been, any allegations of sexual harassment or other sexual misconduct made against any officer or executive of the Company or any of its Subsidiaries, and since January 1, 2024 none of the Company nor any of its Subsidiaries has entered into a settlement agreement to resolve any allegations of sexual harassment or other sexual misconduct by any of its employees, officers or executives, and there are no circumstances or conduct by any employee, officer or executive of the Company or any of its Subsidiaries that would lead to material Liability related to allegations of sexual harassment or other sexual misconduct; and </w:t>
      </w:r>
    </w:p>
    <w:p>
      <w:pPr>
        <w:pStyle w:val="TextBody"/>
        <w:bidi w:val="0"/>
        <w:spacing w:before="120" w:after="0"/>
        <w:jc w:val="left"/>
        <w:rPr>
          <w:rFonts w:ascii="Times New Roman" w:hAnsi="Times New Roman"/>
          <w:sz w:val="20"/>
        </w:rPr>
      </w:pPr>
      <w:r>
        <w:rPr>
          <w:rFonts w:ascii="Times New Roman" w:hAnsi="Times New Roman"/>
          <w:sz w:val="20"/>
        </w:rPr>
        <w:t xml:space="preserve">(j) There has been no “mass layoff” or “plant closing” (as defined by the WARN Act) with respect to any of the Company or its Subsidiaries within the six months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sets forth each material (i) “employee benefit plan” (as defined in section 3(3) of ERISA), and (ii) retirement or deferred compensation plan, incentive compensation plan, commission plan or arrangement, equity or equity-based plan, retention plan or agreement, unemployment compensation plan, vacation pay, change in control, severance pay, bonus or benefit arrangement, insurance or hospitalization program, flexible benefit plan, cafeteria plan, dependent care plan or any fringe benefit arrangements for any current or former employee, director, consultant, leased employee or agent, whether pursuant to contract, arrangement, custom or informal understanding, which does not constitute an employee benefit plan (as defined in section 3(3) of ERISA), in each case, under or with respect to which is maintained, sponsored or contributed to by the Company or any of its Subsidiaries or to which the Company or any of its Subsidiaries have any obligation to contribute, or with respect to which the Company or any of its Subsidiaries has any Liability, other than a “multiemployer plan” (as defined in section 3(37) of ERISA) or a plan maintained by a Governmental Authority (each, a “</w:t>
      </w:r>
      <w:r>
        <w:rPr>
          <w:rFonts w:ascii="Times New Roman" w:hAnsi="Times New Roman"/>
          <w:sz w:val="20"/>
          <w:u w:val="single"/>
        </w:rPr>
        <w:t>Benefit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each Benefit Plan, Company has provided to Parent a current, accurate and complete copy (or, to the extent no such copy exists, an accurate description) of the following, to the extent applicable: (i) each Benefit Plan, any amendment and any related trust agreement or other funding instrument; (ii) the most recent determination or opinion letter; (iii) any summary plan description, summaries of material modification, employee handbook and other written communications (or a description of any oral communications) by Company or any Affiliate of Company concerning the extent of the benefits provided under an Benefit Plan; (iv) for the three most recent years (A) the Form 5500 and attached schedules thereto, (B) audited financial statements, and (C) actuarial valuation reports; (v) insurance contracts; (vi) the most recent nondiscrimination and other tests performed under the Code; and (vii) any other documents reasonably requested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to the extent it would not reasonably be expected to have a Material Adverse Effect, each Benefit Plan has been established and administered in accordance with its terms and in compliance with applicable Law, and no event, change, development, effect, condition, circumstance, occurrence or state of facts, or any combination of the foregoing has occurred which will or could cause any Benefit Plan to fail to comply with such requirements and no notice has been issued by any Governmental Authority questioning or challenging such compliance (other than with respect to matters that have been resolved). Each Benefit Plan that is intended to be qualified within the meaning of Section 401(a) of the Code has received an IRS determination letter or is the subject of an IRS opinion or advisory letter, and nothing has occurred that would reasonably be expected to result in any such Benefit Plan not being so qualified, and no event has occurred which will or could give rise to disqualification of any such Benefit Plan. All Benefit Plans which are subject to section 409A of the Code comply with section 409A in form and have been administered in accordance with their terms and section 409A of the Code except to the extent it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4.15(d)</w:t>
      </w:r>
      <w:r>
        <w:rPr>
          <w:rFonts w:ascii="Times New Roman" w:hAnsi="Times New Roman"/>
          <w:sz w:val="20"/>
        </w:rPr>
        <w:t xml:space="preserve"> of the Company Disclosure Letter, none of the Company, its Subsidiaries, or any of their respective ERISA Affiliates has now or at any time since January 1, 2024 had an obligation to contribute to, or any Liability with respect to: (i) a plan subject to Title IV of ERISA, (ii) a “multiemployer plan” (as defined in section 3(37) of ERISA), (iii) a “multiple employer plan” (as defined in Section 413(c) of the Code), (iv) a “multiple employer welfare arrangement” (as defined in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 </w:t>
      </w:r>
    </w:p>
    <w:p>
      <w:pPr>
        <w:pStyle w:val="TextBody"/>
        <w:bidi w:val="0"/>
        <w:spacing w:before="120" w:after="0"/>
        <w:jc w:val="left"/>
        <w:rPr>
          <w:rFonts w:ascii="Times New Roman" w:hAnsi="Times New Roman"/>
          <w:sz w:val="20"/>
        </w:rPr>
      </w:pPr>
      <w:r>
        <w:rPr>
          <w:rFonts w:ascii="Times New Roman" w:hAnsi="Times New Roman"/>
          <w:sz w:val="20"/>
        </w:rPr>
        <w:t xml:space="preserve">(e) No event, change, development, effect, condition, circumstance, occurrence or state of facts, or any combination of the foregoing has occurred with respect to any Benefit Plan, that could reasonably be expected to subject Parent, the Company or any of its Subsidiaries or any Benefit Plan to material penalties or excise Taxes under Sections 4980B, 4980D, 4980H, 6055 or 6056 of the Code. Except to the extent it would not reasonably be expected to have a Material Adverse Effect, there have been no “prohibited transactions” (as described in section 406 of ERISA or section 4975 of the Code) with respect to any Benefit Plan and none of the Company, its Subsidiaries or any of their respective ERISA Affiliates has engaged in any prohibited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4.15(f)</w:t>
      </w:r>
      <w:r>
        <w:rPr>
          <w:rFonts w:ascii="Times New Roman" w:hAnsi="Times New Roman"/>
          <w:sz w:val="20"/>
        </w:rPr>
        <w:t xml:space="preserve"> of the Company Disclosure Letter, to the Knowledge of the Company, neither the execution and delivery of this Agreement nor the approval or consummation of the transactions contemplated by this Agreement will (i) result in any material compensation or benefit becoming due to any Employee, (ii) increase any payments or benefits payable to any Employee or other Person under any Benefit Plan or (iii) result in the acceleration of the time of payment, funding or vesting of any payments or benefits to any Employee or other Person under any Benefit Plan.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there are no Actions or investigations, nor have there been any since January 1, 2024, that have been asserted, instituted or threatened with respect to any Benefit Plan other than routine claims for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None of the payments contemplated by the Benefit Plans or otherwise in connection with the transactions contemplated by this Agreement or for a termination of employment of any Employee or other “disqualified individual” (as defined in Section 280G of the Code) would, in the aggregate, constitute “excess parachute payments” (as defined in section 280G of the Code (without regard to subsection (b)(4) thereof)). </w:t>
      </w:r>
    </w:p>
    <w:p>
      <w:pPr>
        <w:pStyle w:val="TextBody"/>
        <w:bidi w:val="0"/>
        <w:spacing w:before="120" w:after="0"/>
        <w:jc w:val="left"/>
        <w:rPr>
          <w:rFonts w:ascii="Times New Roman" w:hAnsi="Times New Roman"/>
          <w:sz w:val="20"/>
        </w:rPr>
      </w:pPr>
      <w:r>
        <w:rPr>
          <w:rFonts w:ascii="Times New Roman" w:hAnsi="Times New Roman"/>
          <w:sz w:val="20"/>
        </w:rPr>
        <w:t xml:space="preserve">(i) No Benefit Plan or any contract, agreement, plan, policy, or arrangement with the Company, its Subsidiaries or any of their respective ERISA Affiliates and any Employee or other Person provides for a “gross-up” or similar payment in respect of any Taxes that may become payable under Sections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(j) Each material Benefit Plan maintained under the Law or applicable custom or rule of a jurisdiction outside of the U.S. is listed on </w:t>
      </w:r>
      <w:r>
        <w:rPr>
          <w:rFonts w:ascii="Times New Roman" w:hAnsi="Times New Roman"/>
          <w:sz w:val="20"/>
          <w:u w:val="single"/>
        </w:rPr>
        <w:t>Section 4.15(j)</w:t>
      </w:r>
      <w:r>
        <w:rPr>
          <w:rFonts w:ascii="Times New Roman" w:hAnsi="Times New Roman"/>
          <w:sz w:val="20"/>
        </w:rPr>
        <w:t xml:space="preserve"> of the Company Disclosure Letter (each, a “</w:t>
      </w:r>
      <w:r>
        <w:rPr>
          <w:rFonts w:ascii="Times New Roman" w:hAnsi="Times New Roman"/>
          <w:sz w:val="20"/>
          <w:u w:val="single"/>
        </w:rPr>
        <w:t>Foreign Plan</w:t>
      </w:r>
      <w:r>
        <w:rPr>
          <w:rFonts w:ascii="Times New Roman" w:hAnsi="Times New Roman"/>
          <w:sz w:val="20"/>
        </w:rPr>
        <w:t xml:space="preserve">”). With respect to each Foreign Plan, (i) such Foreign Plan is, and has been operated, in material compliance with its terms and the provisions of the Laws of each jurisdiction in which such Foreign Plan is maintained, to the extent those Laws are applicable to such Foreign Plan, (ii) all material contributions to, and material payments from, such Foreign Plan which have been required to be made in accordance with the terms of such Foreign Plan, and, when applicable, the Laws of the jurisdiction in which such Foreign Plan is maintained, have been timely made or shall be made by the Closing Date, (iii) the Company and each of its Subsidiaries has materially complied with all applicable reporting and notice requirements, and such Foreign Plan has obtained from the Governmental Authority having jurisdiction with respect to such Foreign Plan required determinations, if any, that such Foreign Plan is in compliance with the Laws of the relevant jurisdiction if such determinations are required in order to give effect to such Foreign Plan, (iv) there are no pending investigations by any Governmental Authority involving such Foreign Plan, and no pending claims (except for claims for benefits payable in the normal operation of such Foreign Plan), suits or proceedings against such Foreign Plan or asserting any rights or claims to benefits under such Foreign Plan, and (v) the consummation of the transactions contemplated by this Agreement will not by themselves create or otherwise result in any Liability with respect to such Foreign Plan.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4.16(a)(i)</w:t>
      </w:r>
      <w:r>
        <w:rPr>
          <w:rFonts w:ascii="Times New Roman" w:hAnsi="Times New Roman"/>
          <w:sz w:val="20"/>
        </w:rPr>
        <w:t xml:space="preserve"> of the Company Disclosure Letter sets forth a list of all material Owned Company Intellectual Property issued by, or registered with, the U.S. Patent and Trademark Office, the U.S. Copyright Office, a U.S. state office, any similar Governmental Authority or domain name registrar anywhere in the world. All issued items and registrations set forth on </w:t>
      </w:r>
      <w:r>
        <w:rPr>
          <w:rFonts w:ascii="Times New Roman" w:hAnsi="Times New Roman"/>
          <w:sz w:val="20"/>
          <w:u w:val="single"/>
        </w:rPr>
        <w:t>Section 4.16(a)(i)</w:t>
      </w:r>
      <w:r>
        <w:rPr>
          <w:rFonts w:ascii="Times New Roman" w:hAnsi="Times New Roman"/>
          <w:sz w:val="20"/>
        </w:rPr>
        <w:t xml:space="preserve"> of the Company Disclosure Letter are in force and are valid and enforceable, and all applications set forth on </w:t>
      </w:r>
      <w:r>
        <w:rPr>
          <w:rFonts w:ascii="Times New Roman" w:hAnsi="Times New Roman"/>
          <w:sz w:val="20"/>
          <w:u w:val="single"/>
        </w:rPr>
        <w:t>Section 4.16(a)(i)</w:t>
      </w:r>
      <w:r>
        <w:rPr>
          <w:rFonts w:ascii="Times New Roman" w:hAnsi="Times New Roman"/>
          <w:sz w:val="20"/>
        </w:rPr>
        <w:t xml:space="preserve"> of the Company Disclosure Letter are pending and in good standing. The Company does not have any material Software that is Owned Company Intellectual Property. The Company and its Subsidiaries exclusively own (beneficially and of record where applicable) all right, title and interest in and to all Owned Company Intellectual Property, including that listed on </w:t>
      </w:r>
      <w:r>
        <w:rPr>
          <w:rFonts w:ascii="Times New Roman" w:hAnsi="Times New Roman"/>
          <w:sz w:val="20"/>
          <w:u w:val="single"/>
        </w:rPr>
        <w:t>Section 4.16(a)</w:t>
      </w:r>
      <w:r>
        <w:rPr>
          <w:rFonts w:ascii="Times New Roman" w:hAnsi="Times New Roman"/>
          <w:sz w:val="20"/>
        </w:rPr>
        <w:t xml:space="preserve"> of the Company Disclosure Letter, free and clear of any Liens other than Permitted Liens. The Owned Company Intellectual Property is not subject to or bound by any outstanding Action, Governmental Order or Contract restricting the use, licensing or other exploitation of the same or that otherwise could adversely affect the use, licensing or other exploitation of the same or rights thereto (other than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Actions or other orders issued by the U.S. Patent and Trademark Office, the U.S. Copyright Office, or any similar Governmental Authority in the ordinary course of business). No third party has been granted any rights to any Owned Company Intellectual Property except pursuant to (i) a Company Material Contract listed on </w:t>
      </w:r>
      <w:r>
        <w:rPr>
          <w:rFonts w:ascii="Times New Roman" w:hAnsi="Times New Roman"/>
          <w:sz w:val="20"/>
          <w:u w:val="single"/>
        </w:rPr>
        <w:t>Section 4.16(a)</w:t>
      </w:r>
      <w:r>
        <w:rPr>
          <w:rFonts w:ascii="Times New Roman" w:hAnsi="Times New Roman"/>
          <w:sz w:val="20"/>
        </w:rPr>
        <w:t xml:space="preserve">, (ii) an Incidental License, or (iii) a non-exclusive license to a customer granted in the ordinary course of business and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its Subsidiaries own or have a valid right by way of license agreement or other permission to use in the manner currently used, all material Intellectual Property used in the conduct of the business of the Company or any of its Subsidiaries as currently conducted. Each material item of Intellectual Property used in the business of the Company or any of its Subsidiaries will be owned or licensed and available for use by the Company and its Subsidiaries on materially similar terms following the consummation of the transactions contemplated by this Agreement as such items were owned by, licensed to, or available for use by the Company and each of its Subsidiaries prior to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infringed upon, misappropriated, or otherwise violated the Intellectual Property of any third party during the past three (3) years, except as would not, individually or in the aggregate, reasonably be expected to have a Material Adverse Effect. During the past three (3) years, neither the Company nor any of its Subsidiaries has received any written notice from any Person, and neither the Company nor any of its Subsidiaries is currently in possession of any outstanding written notice from any Person, and there is no Action or investigation pending, (i) alleging that the Company or any of its Subsidiaries infringes, misappropriates or violates any Intellectual Property of any Person or (ii) challenging the ownership by the Company or any of its Subsidiaries of or the registrability, validity or enforceability of any Owned Company Intellectual Property, except, in each case,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No other Person has infringed any Owned Company Intellectual Property during the past three (3) years, except as would not, individually or in the aggregate, reasonably be expected to have a Material Adverse Effect. During such period, neither the Company nor any of its Subsidiaries has made any claims to any other Person alleging that such Person has infringed, misappropriated or violated any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each of its Subsidiaries has used commercially reasonable efforts to protect and maintain the confidentiality of all Trade Secrets included in the Owned Company Intellectual Property. No material Trade Secret included in the Owned Company Intellectual Property has been disclosed to any third party, other than pursuant to a non-disclosure agreement that protects the proprietary interests in and to such Trade Secret, and, to the Company’s Knowledge, there has been no breach of such an agreement. The Company and each of its Subsidiaries have secured from all former and current officers, employees, consultants and contractors, and any other Person who materially contributed to the creation or development of any Intellectual Property for the Company or any of its Subsidiaries valid written agreements (i) assigning to the Company or the applicable Subsidiary their entire right, title and interest in and to such Intellectual Property, to the extent such contributions are not already owned by the Company or such Subsidiary by operation of Law, and (ii) restricting the disclosure and use by such Persons of Trade Secrets included in the Owned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its Subsidiaries has licensed or provided to any Person, or allowed any Person to access or use, any source code for any material Software owned by the Company or any of its Subsidiaries, other than employees, contractors and consultants of the Company or any of its Subsidiaries that have confidentiality obligations to the Company or such Subsidiary with respect to such source code. No source code for any material Software owned by the Company or any of its Subsidiaries is in escrow. The Company and each of its Subsidiaries have used reasonable best efforts to ensure that all Software used by the Company or any of its Subsidiaries is free of any disabling codes or instructions, and any virus or other intentionally created, undocumented contaminant, that may, or may be used to, access, modify, delete, damage or disable any internal computer systems of the Company or any of its Subsidiaries, and such Software is free of any such codes, instructions, viruses and contaminants.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each Subsidiary has complied in all material respects with the conditions of licenses for any Open Source Software used by the Company or any of the Subsidiaries. No Software owned by the Company or any of its Subsidiaries uses, incorporates, links to, has been combined or distributed with, is derived from or has embedded in it any Open Source Software in a manner that imposes an obligation on the Company or any of its Subsidiaries to license any such Software on any particular terms, disclose the source code for any such Software to any third party, or license any patents. The Company and each of its Subsidiaries is in compliance with each applicable license of Open Source Software. No funding, facilities or personnel of any Governmental Authority or any university or educational institution were used to develop or create any material Owned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Data Privacy and Information Technology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past three (3) years, the Company and its Subsidiaries have maintained internal privacy and data security policies as well as privacy policies or statements posted on or in any website, application or other digital service owned or operated by the Company or its Subsidiaries (“</w:t>
      </w:r>
      <w:r>
        <w:rPr>
          <w:rFonts w:ascii="Times New Roman" w:hAnsi="Times New Roman"/>
          <w:sz w:val="20"/>
          <w:u w:val="single"/>
        </w:rPr>
        <w:t>Privacy and Data Security Policies</w:t>
      </w:r>
      <w:r>
        <w:rPr>
          <w:rFonts w:ascii="Times New Roman" w:hAnsi="Times New Roman"/>
          <w:sz w:val="20"/>
        </w:rPr>
        <w:t xml:space="preserve">”) in material compliance with all Data Protection Laws. Notwithstanding anything to the contrary in Section 4.08, the Company and its Subsidiaries are and during the past three (3) years have been in material compliance with all (x) applicable Data Protection Laws, (y) Privacy and Data Security Policies and (z) Data Processing Contracts, including, to the extent applicable, the EU standard contractual clauses.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a valid and legal right (whether contractually, by applicable Data Protection Laws or otherwise) to access or use all material Personal Information that is accessed and used by or on behalf of such Person in connection with the sale, use and/or operation of their products, services and businesses.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as of the date hereof and as of the Closing, neither the Company nor any of its Subsidiaries is prohibited by any applicable Law, their own Privacy and Data Security Policies or any Data Processing Contracts from providing Parent with or transferring to Parent at Closing, all or any portion of the Personal Information in the possession or control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and its Subsidiaries maintain administrative, technical, organizational and physical security procedures and measures that are reasonable and appropriate, designed to preserve the confidentiality, integrity and availability of Personal Information in the possession or control of the Company or any of its Subsidiaries and that are designed to protect against Security Incidents.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its Subsidiaries own, lease or license all of their IT Assets that are necessary to conduct the business of the Company and its Subsidiaries in all material respects in the manner currently conducted. Since January 1, 2024, there has been no failure or other material substandard performance of any of such IT Assets which has resulted in any Material Adverse Effect. The IT Assets of the Company and its Subsidiaries (i) operate and perform in all material respects in accordance with their applicable specifications and documentation and as required for the conduct of the business of the Company and its Subsidiaries in the manner currently conducted, and (ii) are, to the Knowledge of the Company, free from material defects, viruses, worms, Trojan horses or similar flaws or harmful programs.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there has not been any (i) Security Incidents resulting in a Material Adverse Effect, or (ii) claims asserted by, complaints from, notices from, Actions commenced or investigation conducted by any Person (including any Governmental Authority) in writing against the Company or any of its Subsidiaries with respect to collection, use, storage, processing or transfer of Personal Information or alleging any violation of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Customers and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contains a true, complete and accurate list, by percentage of total sales by the Company and its Subsidiaries for each of the fiscal year ended on December 31, 2025 and the period beginning January 1, 2026 and ending March 31, 2026, of the 10 largest customers of the Company and its Subsidiaries measured by revenue received (each, a “</w:t>
      </w:r>
      <w:r>
        <w:rPr>
          <w:rFonts w:ascii="Times New Roman" w:hAnsi="Times New Roman"/>
          <w:sz w:val="20"/>
          <w:u w:val="single"/>
        </w:rPr>
        <w:t>Company Significant Customer</w:t>
      </w:r>
      <w:r>
        <w:rPr>
          <w:rFonts w:ascii="Times New Roman" w:hAnsi="Times New Roman"/>
          <w:sz w:val="20"/>
        </w:rPr>
        <w:t xml:space="preserve">”). Since January 1, 2025, except as set forth in </w:t>
      </w:r>
      <w:r>
        <w:rPr>
          <w:rFonts w:ascii="Times New Roman" w:hAnsi="Times New Roman"/>
          <w:sz w:val="20"/>
          <w:u w:val="single"/>
        </w:rPr>
        <w:t>Section 4.18(a)</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have been no disputes between the Company or any of its Subsidiaries or any of their respective Affiliates, on the one hand, and any Company Significant Customer, on the other hand, and neither the Company nor any of its Subsidiaries has received any written notice that any Company Significant Customer intends to adversely change its terms, cease or materially alter its business relationship with the Company or any of its Subsidiaries or reduce its rate or amount of purchases from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Company Disclosure Letter contains a complete and accurate list, by percentage of total purchases by the Company and its Subsidiaries for each of the fiscal year ended December 31, 2025 and the period beginning January 1, 2026 and ending March 31, 2026, of the 10 largest suppliers to the Company and its Subsidiaries (each, a “</w:t>
      </w:r>
      <w:r>
        <w:rPr>
          <w:rFonts w:ascii="Times New Roman" w:hAnsi="Times New Roman"/>
          <w:sz w:val="20"/>
          <w:u w:val="single"/>
        </w:rPr>
        <w:t>Company Significant Supplier</w:t>
      </w:r>
      <w:r>
        <w:rPr>
          <w:rFonts w:ascii="Times New Roman" w:hAnsi="Times New Roman"/>
          <w:sz w:val="20"/>
        </w:rPr>
        <w:t xml:space="preserve">”) measured by aggregate expenditures. Since January 1, 2025, except as set forth in </w:t>
      </w:r>
      <w:r>
        <w:rPr>
          <w:rFonts w:ascii="Times New Roman" w:hAnsi="Times New Roman"/>
          <w:sz w:val="20"/>
          <w:u w:val="single"/>
        </w:rPr>
        <w:t>Section 4.18(b)</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has been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disputes between the Company or any of its Subsidiaries or any of their respective Affiliates, on the one hand, and any Company Significant Supplier, on the other hand, and neither the Company nor any of its Subsidiaries has received any written notice that any Company Significant Supplier intends to adversely change its terms, cease or materially alter its business relationship with the Company or any of its Subsidiaries or reduce its rate or amount of sales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the Company has delivered to Parent a true, correct and complete copy of the executed Credit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Credit Agreement has not been amended, supplemented, modified, withdrawn, rescinded or terminated, (ii) to the Knowledge of the Company, no such amendment, supplement, modification, withdrawal, recission or termination is contemplated by the Company, and (iii) the obligation of the Credit Agreement Lenders to provide the Credit Agreement Financing has not been withdrawn, terminated, waived, rescinded or otherwise amended or modified and, to the Knowledge of the Company, no such withdrawal, termination, rescission, or other amendment or modification is contemplated. Except as expressly set forth in the Credit Agreement, the Company has not entered into any side letters, understandings, or other Contracts, agreements or arrangements with the administrative agent under the Credit Agreement or the Credit Agreement Lenders related to the funding of the Credit Agreement Financing that imposes any new condition precedent to the funding of the Credit Agreement Financing or would impose additional conditions on the Company’s right to request such Credit Agreement Financing or cause the Credit Agreement Financing to be funded. For the avoidance of doubt, the Company makes no representation or warranty regarding the availability, sufficiency or funding of the Credit Agreement Financing or any other Debt Financing or the ability or willingness of any Credit Agreement Lender to fund any borrowing.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the Company has fully paid any and all commitment fees or other fees due and payable pursuant to the Credit Agreement Amendment that are due and payable on or prior to the date hereof pursuant to the terms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Credit Agreement is in full force and effect and is the legal, valid, binding and enforceable obligation of the Company, the other Loan Parties (as defined in the Credit Agreement) party thereto and, to the Knowledge of the Company, each of the other parties party thereto, except, in each case, as such enforceability may be limited by the Enforceability Exceptions. As of the date hereof, to the Knowledge of the Company, no event has occurred which, with or without notice, lapse of time or both, would or would reasonably be expected to (i) constitute a default or breach on the part of the Company or the other Loan Parties (as defined in the Credit Agreement) party thereto or (ii) constitute a failure to satisfy a condition on the part of the Company or the other Loan Parties (as defined in the Credit Agreement) party thereto with respect to the Credit Agreement Financing that are required to be satisfied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Related Party Transactions</w:t>
      </w:r>
      <w:r>
        <w:rPr>
          <w:rFonts w:ascii="Times New Roman" w:hAnsi="Times New Roman"/>
          <w:sz w:val="20"/>
        </w:rPr>
        <w:t xml:space="preserve">. Other than any Related Party Agreement, none of the Disinterested Stockholders: (a) is a supplier or customer of the Company or any of its Subsidiaries or (b) has any cause of action or other claim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Proxy Statement; Information Supplied</w:t>
      </w:r>
      <w:r>
        <w:rPr>
          <w:rFonts w:ascii="Times New Roman" w:hAnsi="Times New Roman"/>
          <w:sz w:val="20"/>
        </w:rPr>
        <w:t xml:space="preserve">. The Proxy Statement (including any amendment or supplement thereto), at the time first sent or given to the stockholders of the Company and at the time of the Company Stockholders’ Meeting, will comply as to form in all material respects with the requirements of the Exchange Act and the applicable rules and regulations thereunder and will not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or on behalf of the Company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Intermediate, Merger Sub or any Representatives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No Anti-Takeover Provisions</w:t>
      </w:r>
      <w:r>
        <w:rPr>
          <w:rFonts w:ascii="Times New Roman" w:hAnsi="Times New Roman"/>
          <w:sz w:val="20"/>
        </w:rPr>
        <w:t xml:space="preserve">. Assuming the accuracy of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as a result of the approval by the Board referred to in </w:t>
      </w:r>
      <w:r>
        <w:rPr>
          <w:rFonts w:ascii="Times New Roman" w:hAnsi="Times New Roman"/>
          <w:sz w:val="20"/>
          <w:u w:val="single"/>
        </w:rPr>
        <w:t>Section 4.03(c)</w:t>
      </w:r>
      <w:r>
        <w:rPr>
          <w:rFonts w:ascii="Times New Roman" w:hAnsi="Times New Roman"/>
          <w:sz w:val="20"/>
        </w:rPr>
        <w:t>, no “business combination,” “control share acquisition,” “fair price,” “moratorium” or other anti-takeover Law (each, a “</w:t>
      </w:r>
      <w:r>
        <w:rPr>
          <w:rFonts w:ascii="Times New Roman" w:hAnsi="Times New Roman"/>
          <w:sz w:val="20"/>
          <w:u w:val="single"/>
        </w:rPr>
        <w:t>Takeover Law</w:t>
      </w:r>
      <w:r>
        <w:rPr>
          <w:rFonts w:ascii="Times New Roman" w:hAnsi="Times New Roman"/>
          <w:sz w:val="20"/>
        </w:rPr>
        <w:t xml:space="preserve">”) applies or will apply to the Company pursuant to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Opinion of Financial Advisor</w:t>
      </w:r>
      <w:r>
        <w:rPr>
          <w:rFonts w:ascii="Times New Roman" w:hAnsi="Times New Roman"/>
          <w:sz w:val="20"/>
        </w:rPr>
        <w:t xml:space="preserve">. The Special Committee has received the opinion of William Blair &amp; Company L.L.C., to the effect that, as of the date of such opinion and based upon and subject to, among other things, the assumptions made, procedures followed, matters considered, and qualifications and limitations on the review undertaken by William Blair &amp; Company L.L.C. set forth therein, the Merger Consideration to be received by the Disinterested Stockholders (other than the holders of Excluded Shares) in connection with the transaction contemplated by this Agreement is fair to such stockholders from a financial point of view. Such opinion has not been amended or rescinded as of the date of this Agreement and a true and complete copy of such written opinion will be provided to Parent by the Company solely for informational purposes promptly following the date hereof, and it is agreed and understood that such opinion is for the benefit of the Special Committee only and may not be relied upon by Parent, Intermediate, or Merger Sub or any director, officer or employee of Parent, Intermediate, or Merger Sub.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Brokers and Other Advisors</w:t>
      </w:r>
      <w:r>
        <w:rPr>
          <w:rFonts w:ascii="Times New Roman" w:hAnsi="Times New Roman"/>
          <w:sz w:val="20"/>
        </w:rPr>
        <w:t xml:space="preserve">. Except for William Blair &amp; Company L.L.C., the fees and expenses of which are accurately set forth on </w:t>
      </w:r>
      <w:r>
        <w:rPr>
          <w:rFonts w:ascii="Times New Roman" w:hAnsi="Times New Roman"/>
          <w:sz w:val="20"/>
          <w:u w:val="single"/>
        </w:rPr>
        <w:t>Section 4.24</w:t>
      </w:r>
      <w:r>
        <w:rPr>
          <w:rFonts w:ascii="Times New Roman" w:hAnsi="Times New Roman"/>
          <w:sz w:val="20"/>
        </w:rPr>
        <w:t xml:space="preserve"> of the Company Disclosure Letter and will be paid by the Company at or prior to Closing,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PARENT, INTERMEDIATE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jointly and severally represent and warrant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5.01 </w:t>
      </w:r>
      <w:r>
        <w:rPr>
          <w:rFonts w:ascii="Times New Roman" w:hAnsi="Times New Roman"/>
          <w:sz w:val="20"/>
          <w:u w:val="single"/>
        </w:rPr>
        <w:t>Organization; Standing</w:t>
      </w:r>
      <w:r>
        <w:rPr>
          <w:rFonts w:ascii="Times New Roman" w:hAnsi="Times New Roman"/>
          <w:sz w:val="20"/>
        </w:rPr>
        <w:t xml:space="preserve">. Parent is a limited liability company duly formed, validly existing under the Laws of the State of Delaware and is in good standing with the DE SOS. Intermediate is a limited liability company duly formed, validly existing under the Laws of the State of Delaware and is in good standing with the DE SOS. Merger Sub is a corporation duly incorporated, validly existing under the Laws of the State of Delaware and is in good standing with the DE SOS. Each of Parent, Intermediate and Merger Sub has all requisite limited liability company or corporate power and authority, as applicable, necessary to carry on its respective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5.02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Intermediate has all necessary limited liability company power and authority, and Merger Sub has all necessary corporate power and corporate authority, to execute and deliver this Agreement, to perform their respective obligations hereunder and to consummate the transactions contemplated by this Agreement. The sole member of Parent has approved and declared advisable this Agreement and the transactions contemplated by this Agreement. The sole member of Intermediate has approved and declared advisable this Agreement and the transactions contemplated by this Agreement. The Board of Directors of Merger Sub has unanimously (i) determined that this Agreement and the transactions contemplated hereby are fair to, advisable and in the best interests of, Merger Sub and its sole stockholder, (ii) determined that it is advisable and in the best interests of Merger Sub and its sole stockholder to enter into this Agreement and consummate the transactions contemplated hereby, (iii)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(iv) resolved to recommend that the sole stockholder of Merger Sub adopt this Agreement and (v) directed that this Agreement be submitted to the sole stockholder of Merger Sub for adoption. The recommendation in the foregoing </w:t>
      </w:r>
      <w:r>
        <w:rPr>
          <w:rFonts w:ascii="Times New Roman" w:hAnsi="Times New Roman"/>
          <w:sz w:val="20"/>
          <w:u w:val="single"/>
        </w:rPr>
        <w:t>clause (iv)</w:t>
      </w:r>
      <w:r>
        <w:rPr>
          <w:rFonts w:ascii="Times New Roman" w:hAnsi="Times New Roman"/>
          <w:sz w:val="20"/>
        </w:rPr>
        <w:t xml:space="preserve"> has not been withdrawn, rescinded or modified in any way as of the date hereof. No vote of equity securities of Parent or Intermediate is necessary to approve this Agreement or the consummation by Parent, Intermediate and Merger Sub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Merger and the other transactions contemplated by this Agreement. Intermediate, in its capacity as the sole stockholder of Merger Sub, has delivered the Merger Sub Stockholder Approval. Except as expressly set forth in this </w:t>
      </w:r>
      <w:r>
        <w:rPr>
          <w:rFonts w:ascii="Times New Roman" w:hAnsi="Times New Roman"/>
          <w:sz w:val="20"/>
          <w:u w:val="single"/>
        </w:rPr>
        <w:t>Section 5.02(a)</w:t>
      </w:r>
      <w:r>
        <w:rPr>
          <w:rFonts w:ascii="Times New Roman" w:hAnsi="Times New Roman"/>
          <w:sz w:val="20"/>
        </w:rPr>
        <w:t xml:space="preserve">, no other limited liability company or corporate action (including any member or stockholder vote or other action) on the part of Parent, Intermediate or Merger Sub (or any of their Affiliates) is necessary to authorize the execution, delivery and performance by Parent, Intermediate and Merger Sub of this Agreement and the consummation by Parent, Intermediate and Merger Sub of the transactions contemplated by this Agreement. This Agreement has been duly executed and delivered by Parent, Intermediate and Merger Sub and, assuming due authorization, execution and delivery hereof by the Company, constitutes a legal, valid and binding obligation of each of Parent, Intermediate and Merger Sub, enforceable against each of them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of this Agreement by Parent, Intermediate and Merger Sub do not, and the consummation of the transactions contemplated by this Agreement, and compliance with the provisions of this Agreement will not, conflict with, or result in any material violation or material breach of, or default (with or without notice or lapse of time, or both) under, or give rise to a material right of termination, cancellation, first offer, first refusal, modification or acceleration of any right or obligation or to the loss of a benefit under, or result in the creation of any Lien upon any of the properties or assets of Parent, Intermediate or Merger Sub under, any provision of (i) the organizational documents of Parent or Intermediate or the certificate of incorporation or bylaws of Merger Sub or (ii) (A) any material Contract to which Parent, Intermediate or Merger Sub or any of their respective Subsidiaries is a party or by which any of their respective properties or assets are bound or (B) subject to the filings and other matters referred to in the immediately following sentence, any Law or Governmental Order, in each case, applicable to Parent, Intermediate or Merger Sub or any of their respective Subsidiaries or any of their respective properties or assets, other than, in the case of </w:t>
      </w:r>
      <w:r>
        <w:rPr>
          <w:rFonts w:ascii="Times New Roman" w:hAnsi="Times New Roman"/>
          <w:sz w:val="20"/>
          <w:u w:val="single"/>
        </w:rPr>
        <w:t>clause (ii)</w:t>
      </w:r>
      <w:r>
        <w:rPr>
          <w:rFonts w:ascii="Times New Roman" w:hAnsi="Times New Roman"/>
          <w:sz w:val="20"/>
        </w:rPr>
        <w:t xml:space="preserve"> above, any such conflicts, violations, breaches, defaults, rights, losses, Liens, suspensions, limitations or impairments that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5.03 </w:t>
      </w:r>
      <w:r>
        <w:rPr>
          <w:rFonts w:ascii="Times New Roman" w:hAnsi="Times New Roman"/>
          <w:sz w:val="20"/>
          <w:u w:val="single"/>
        </w:rPr>
        <w:t>Governmental Approvals</w:t>
      </w:r>
      <w:r>
        <w:rPr>
          <w:rFonts w:ascii="Times New Roman" w:hAnsi="Times New Roman"/>
          <w:sz w:val="20"/>
        </w:rPr>
        <w:t xml:space="preserve">. Except for (a) compliance with the applicable requirements of the Exchange Act, including the filing with the SEC of the Proxy Statement and Schedule 13E-3, (b) compliance with the rules and regulations of Nasdaq, (c) the filing and acceptance for record of the Certificate of Merger with the DE SOS pursuant to the DGCL,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or registration with, any Governmental Authority is necessary for the execution and delivery of this Agreement by Parent, Intermediate and Merger Sub, the performance by Parent, Intermediate and Merger Sub of their obligations hereunder and the consummation by Parent, Intermediate and Merger Sub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5.04 </w:t>
      </w:r>
      <w:r>
        <w:rPr>
          <w:rFonts w:ascii="Times New Roman" w:hAnsi="Times New Roman"/>
          <w:sz w:val="20"/>
          <w:u w:val="single"/>
        </w:rPr>
        <w:t>Ownership and Operations of Intermediate and Merger Sub</w:t>
      </w:r>
      <w:r>
        <w:rPr>
          <w:rFonts w:ascii="Times New Roman" w:hAnsi="Times New Roman"/>
          <w:sz w:val="20"/>
        </w:rPr>
        <w:t xml:space="preserve">. Each of Intermediate and Merger Sub has been formed solely for the purpose of engaging in the transactions contemplated by this Agreement and, prior to the Effective Time, will not have engaged in any business activities, other than activities in connection with the transactions contemplated by this Agreement. All of the issued and outstanding limited liability company interests of Intermediate are, and at the Effective Time will be, solely owned by Parent, free and clear of all Liens. All of the issued and outstanding capital stock of Merger Sub is, and at the Effective Time will be, solely owned by Intermediate, free and clear of all Liens. There are no options, warrants, rights, convertible or exchangeable securities, equity-based performance units or Contracts to which Intermediate or Merger Sub is a party or by which Intermediate or Merger Sub is bound obligating Intermediate or Merger Sub to issue, deliver or sell, or cause to be issued, delivered or sold, additional limited liability company interests or shares of capital stock of, or any security convertible or exchangeable for any limited liability company interests or shares of capital stock of, Intermediate or Merger Sub,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5.05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Parent has delivered to the Company a true, correct and complete copy of the executed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Equity Commitment Letter has not been amended, supplemented or modified, withdrawn, rescinded or terminated, (ii) no such amendment, supplement, modification, withdrawal, rescission or termination is contemplated by Parent or, to the Knowledge of Parent, by the other parties thereto, and (iii) the commitments contained in the Equity Commitment Letter have not been withdrawn, terminated, waived, rescinded or otherwise amended or modified and, to the Knowledge of Parent, no such withdrawal, termination, rescission, or other amendment or modification is contemplated. Except as expressly set forth in the Equity Commitment Letter and the Limited Guarantee, there are no side letters, understandings, or other Contracts, agreements or arrangements related to the funding or investing, as applicable, of the Equity Financing or the transactions contemplated by this Agreement that would reasonably be expected to impose any new condition precedent to the funding of the full amount of the Equity Financing or would impose other contingencies related to the funding of the full amount of the Equity Financing. There are no conditions precedent or other contingencies related to the funding of the full amount of the Equity Financing contemplated by the Equity Commitment Letter, other than the conditions precedent set forth in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Parent has fully paid any and all commitment fees or other fees in connection with the Equity Commitment Letter that are due and payable on or prior to the date hereof pursuant to the terms of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Equity Commitment Letter is (i) in full force and effect and is the legal, valid, binding and enforceable obligation of Parent, Intermediate, Merger Sub and the Equity Commitment Party, except, in each case, as such enforceability may be limited by the Enforceability Exceptions, and (ii) fully and specifically enforceable against the parties thereto in accordance with its terms. Assuming satisfaction of the conditions to Parent’s, Intermediate’s and Merger Sub’s obligations to consummate the Merger, no event has occurred which, with or without notice, lapse of time or both, would or would reasonably be expected to (i) constitute a default or breach on the part of Parent, Intermediate, Merger Sub, the Equity Commitment Party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Knowledge of Parent, any other party thereto under the Equity Commitment Letter or (ii) constitute a failure to satisfy a condition on the part of Parent, Intermediate, Merger Sub, the Equity Commitment Party or any other party thereto under the Equity Commitment Letter. As of the date of this Agreement, the Equity Commitment Party has not notified Parent, Intermediate or Merger Sub of its intention to terminate any commitment set forth in the Equity Commitment Letter or not to provide the Financing. </w:t>
      </w:r>
    </w:p>
    <w:p>
      <w:pPr>
        <w:pStyle w:val="TextBody"/>
        <w:bidi w:val="0"/>
        <w:spacing w:before="120" w:after="0"/>
        <w:jc w:val="left"/>
        <w:rPr>
          <w:rFonts w:ascii="Times New Roman" w:hAnsi="Times New Roman"/>
          <w:sz w:val="20"/>
        </w:rPr>
      </w:pPr>
      <w:r>
        <w:rPr>
          <w:rFonts w:ascii="Times New Roman" w:hAnsi="Times New Roman"/>
          <w:sz w:val="20"/>
        </w:rPr>
        <w:t xml:space="preserve">(e) Assuming satisfaction (or waiver)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Parent has no reason to believe that any of conditions precedent set forth in the Equity Commitment Letter will not be satisfied on or prior to the Closing Date or that the full amount of the Equity Financing will not be made available to Parent on the Closing Date in the amount required to satisfy the Financing Uses. Parent acknowledges and agrees that its obligation to consummate the transactions contemplated by this Agreement, is not and will not be subject to the receipt by Parent, Intermediate or Merger Sub of any financing or the consummation of any other transaction. Assuming (i) satisfaction of the conditions to Parent’s, Intermediate’s and Merger Sub’s obligation to consummate the Merger, (ii) the Equity Financing is funded in accordance with the Equity Commitment Letter, and (iii) Debt Financing is available in an amount no less than $250,000,000 or Parent otherwise has available funds, Parent, Intermediate and Merger Sub shall have on the Closing Date funds sufficient to enable Parent to (A) pay the aggregate Merger Consideration and all amounts payable pursuant to any provision of this Agreement (including other payments contemplated by </w:t>
      </w:r>
      <w:r>
        <w:rPr>
          <w:rFonts w:ascii="Times New Roman" w:hAnsi="Times New Roman"/>
          <w:sz w:val="20"/>
          <w:u w:val="single"/>
        </w:rPr>
        <w:t>ARTICLE III</w:t>
      </w:r>
      <w:r>
        <w:rPr>
          <w:rFonts w:ascii="Times New Roman" w:hAnsi="Times New Roman"/>
          <w:sz w:val="20"/>
        </w:rPr>
        <w:t xml:space="preserve">), (B) pay any and all fees and expenses required to be paid by the Company, any of the Company’s Subsidiaries, Parent, Intermediate or Merger Sub in cash at Closing in connection with the Merger and the Debt Financing, (C) repay any outstanding Indebtedness of the Company or its Subsidiaries required by this Agreement to be prepaid or repaid at the Closing, and (D) satisfy all of the other payment obligations of the Company, Subsidiaries of the Company, Parent, Intermediate and Merger Sub contemplated hereunder (the payments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the “</w:t>
      </w:r>
      <w:r>
        <w:rPr>
          <w:rFonts w:ascii="Times New Roman" w:hAnsi="Times New Roman"/>
          <w:sz w:val="20"/>
          <w:u w:val="single"/>
        </w:rPr>
        <w:t>Financing Uses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Without limiting </w:t>
      </w:r>
      <w:r>
        <w:rPr>
          <w:rFonts w:ascii="Times New Roman" w:hAnsi="Times New Roman"/>
          <w:sz w:val="20"/>
          <w:u w:val="single"/>
        </w:rPr>
        <w:t>Section 9.07</w:t>
      </w:r>
      <w:r>
        <w:rPr>
          <w:rFonts w:ascii="Times New Roman" w:hAnsi="Times New Roman"/>
          <w:sz w:val="20"/>
        </w:rPr>
        <w:t xml:space="preserve"> and the remedy provisions of </w:t>
      </w:r>
      <w:r>
        <w:rPr>
          <w:rFonts w:ascii="Times New Roman" w:hAnsi="Times New Roman"/>
          <w:sz w:val="20"/>
          <w:u w:val="single"/>
        </w:rPr>
        <w:t>Section 8.03</w:t>
      </w:r>
      <w:r>
        <w:rPr>
          <w:rFonts w:ascii="Times New Roman" w:hAnsi="Times New Roman"/>
          <w:sz w:val="20"/>
        </w:rPr>
        <w:t xml:space="preserve">, in no event shall the receipt or availability of any funds or financing by or to Parent or any of its Affiliates or any other financing transaction be a condition to any of the obligations of Parent, Intermediate or Merger Sub hereunder. </w:t>
      </w:r>
    </w:p>
    <w:p>
      <w:pPr>
        <w:pStyle w:val="TextBody"/>
        <w:bidi w:val="0"/>
        <w:spacing w:before="240" w:after="0"/>
        <w:jc w:val="left"/>
        <w:rPr>
          <w:rFonts w:ascii="Times New Roman" w:hAnsi="Times New Roman"/>
          <w:sz w:val="20"/>
        </w:rPr>
      </w:pPr>
      <w:r>
        <w:rPr>
          <w:rFonts w:ascii="Times New Roman" w:hAnsi="Times New Roman"/>
          <w:sz w:val="20"/>
        </w:rPr>
        <w:t xml:space="preserve">5.06 </w:t>
      </w:r>
      <w:r>
        <w:rPr>
          <w:rFonts w:ascii="Times New Roman" w:hAnsi="Times New Roman"/>
          <w:sz w:val="20"/>
          <w:u w:val="single"/>
        </w:rPr>
        <w:t>Limited Guarantee; Support Agreement</w:t>
      </w:r>
      <w:r>
        <w:rPr>
          <w:rFonts w:ascii="Times New Roman" w:hAnsi="Times New Roman"/>
          <w:sz w:val="20"/>
        </w:rPr>
        <w:t xml:space="preserve">. On or prior to the date hereof, Parent has delivered to the Company (a) a true and complete copy of the Limited Guarantee, dated as of the date of this Agreement, which has been duly executed and validly delivered by the Guarantor, and (b) a true and complete copy of the Support Agreement, dated as of the date of this Agreement, which has been duly executed and validly delivered by the Sponsor. The Limited Guarantee and the Support Agreement constitute legal, valid and binding obligations of the Guarantor and the Sponsor, as applicable, enforceable against them in accordance with the applicable agreement’s terms, subject to the Enforceability Exceptions, and the Limited Guarantee guarantees the obligations as expressly set forth therein. No event has occurred or circumstance exists that, with or without notice, lapse of time or both, would constitute a breach or default on the part of the Guarantor under the Limited Guarantee or on the part of the Sponsor under the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5.07 </w:t>
      </w:r>
      <w:r>
        <w:rPr>
          <w:rFonts w:ascii="Times New Roman" w:hAnsi="Times New Roman"/>
          <w:sz w:val="20"/>
          <w:u w:val="single"/>
        </w:rPr>
        <w:t>Brokers and Other Advisors</w:t>
      </w:r>
      <w:r>
        <w:rPr>
          <w:rFonts w:ascii="Times New Roman" w:hAnsi="Times New Roman"/>
          <w:sz w:val="20"/>
        </w:rPr>
        <w:t xml:space="preserve">. Except for JPMorgan Chase Bank, N.A. (whose fees and expenses will be paid by Parent or Affiliates of Parent),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Parent, Intermediate, Merger Sub or any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5.08 </w:t>
      </w:r>
      <w:r>
        <w:rPr>
          <w:rFonts w:ascii="Times New Roman" w:hAnsi="Times New Roman"/>
          <w:sz w:val="20"/>
          <w:u w:val="single"/>
        </w:rPr>
        <w:t>Information Supplied</w:t>
      </w:r>
      <w:r>
        <w:rPr>
          <w:rFonts w:ascii="Times New Roman" w:hAnsi="Times New Roman"/>
          <w:sz w:val="20"/>
        </w:rPr>
        <w:t xml:space="preserve">. None of the information supplied or to be supplied by or on behalf of Parent, Intermediate or Merger Sub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Parent, Intermediate and Merger Sub make no representation or warranty with respect to statements made or incorporated by reference therein based on information supplied by or on behalf of the Company or any Affiliates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5.09 </w:t>
      </w:r>
      <w:r>
        <w:rPr>
          <w:rFonts w:ascii="Times New Roman" w:hAnsi="Times New Roman"/>
          <w:sz w:val="20"/>
          <w:u w:val="single"/>
        </w:rPr>
        <w:t>Ownership of Equity of the Company</w:t>
      </w:r>
      <w:r>
        <w:rPr>
          <w:rFonts w:ascii="Times New Roman" w:hAnsi="Times New Roman"/>
          <w:sz w:val="20"/>
        </w:rPr>
        <w:t xml:space="preserve">. As of the date hereof, (a) the Sponsor beneficially owns (within the meaning of Section 13 of the Exchange Act and the rules and regulations promulgated thereunder) 36,357,588 shares of Company Common Stock, and (b) no shares of Company Common Stock other than those contemplated by the immediately preceding </w:t>
      </w:r>
      <w:r>
        <w:rPr>
          <w:rFonts w:ascii="Times New Roman" w:hAnsi="Times New Roman"/>
          <w:sz w:val="20"/>
          <w:u w:val="single"/>
        </w:rPr>
        <w:t>clause (a)</w:t>
      </w:r>
      <w:r>
        <w:rPr>
          <w:rFonts w:ascii="Times New Roman" w:hAnsi="Times New Roman"/>
          <w:sz w:val="20"/>
        </w:rPr>
        <w:t xml:space="preserve"> are beneficially owned, directly or indirectly, by any Affiliated Stockholder. As of the date hereof, other than the Support Agreement and arrangements disclosed in writing to and approved in writing by the Special Committee, none of Parent, Intermediate, Merger Sub, any Affiliated Stockholder or any of their respective Affiliates has entered into any Contract with any director, officer or employee of the Company or any of its Subsidiaries relating to any rollover, reinvestment, equity, employment, consulting, compensation, retention or other similar arrangement that is conditioned upon or related to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Litigation</w:t>
      </w:r>
      <w:r>
        <w:rPr>
          <w:rFonts w:ascii="Times New Roman" w:hAnsi="Times New Roman"/>
          <w:sz w:val="20"/>
        </w:rPr>
        <w:t xml:space="preserve">. There is no Action pending or, to the Knowledge of Parent, threatened against Parent, Intermediate, Merger Sub or any of their Subsidiaries that would reasonably be expected to have, individually or in the aggregate, a Parent Material Adverse Effect, nor is there any Governmental Order outstanding against Parent, Intermediate, Merger Sub or any of their Subsidiaries that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Solvency</w:t>
      </w:r>
      <w:r>
        <w:rPr>
          <w:rFonts w:ascii="Times New Roman" w:hAnsi="Times New Roman"/>
          <w:sz w:val="20"/>
        </w:rPr>
        <w:t>. None of Parent, Intermediate or Merger Sub is entering into this Agreement with the actual intent to hinder, delay or defraud either present or future creditors of Parent, Intermediate, Merger Sub or any of their respective Subsidiaries or Affiliates or of the Company or any of its Subsidiaries. Assuming (a) satisfaction or waiver of the conditions to Parent’s, Intermediate’s and Merger Sub’s obligation to consummate the Merger, and (b) (i) the accuracy of the representations and warranties set forth in ARTICLE</w:t>
      </w:r>
      <w:r>
        <w:rPr>
          <w:rFonts w:ascii="Times New Roman" w:hAnsi="Times New Roman"/>
          <w:sz w:val="20"/>
          <w:u w:val="single"/>
        </w:rPr>
        <w:t xml:space="preserve"> IV</w:t>
      </w:r>
      <w:r>
        <w:rPr>
          <w:rFonts w:ascii="Times New Roman" w:hAnsi="Times New Roman"/>
          <w:sz w:val="20"/>
        </w:rPr>
        <w:t xml:space="preserve"> and (ii) the performance by the Company and its Subsidiaries of the covenants and agreements contained in this Agreement, and after giving effect to the transactions contemplated hereby, any Financing obtained in connection with the transactions contemplated hereby and the satisfaction of all payment obligations represented by the Financing Uses, Parent has no reason to believe that Parent, the Surviving Corporation and their respective Subsidiaries, on a consolidated basis, will not be Solvent as of the Effective Time and immediately after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ADDITIONAL 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6.01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and shall cause each of its Subsidiaries to, (x) use commercially reasonable efforts to carry on its business in the ordinary course of business in all material respects, and (y) use commercially reasonable efforts to (1) preserve intact its current lines of business, material assets, properties (including Intellectual Property), Contracts and business organization, and (2) preserve its relationships with contractors, agents, customers, lenders, suppliers, licensors, licensees, distributors, wholesalers, lessors, Governmental Authorities and others having significant business dealings with the Company or any of its Subsidiaries (it being agreed that no action or omission by the Company or any of its Subsidiaries with respect to a matter specifically addressed by any provision of this </w:t>
      </w:r>
      <w:r>
        <w:rPr>
          <w:rFonts w:ascii="Times New Roman" w:hAnsi="Times New Roman"/>
          <w:sz w:val="20"/>
          <w:u w:val="single"/>
        </w:rPr>
        <w:t>Section 6.01(a)</w:t>
      </w:r>
      <w:r>
        <w:rPr>
          <w:rFonts w:ascii="Times New Roman" w:hAnsi="Times New Roman"/>
          <w:sz w:val="20"/>
        </w:rPr>
        <w:t xml:space="preserve"> will be deemed a breach of this </w:t>
      </w:r>
      <w:r>
        <w:rPr>
          <w:rFonts w:ascii="Times New Roman" w:hAnsi="Times New Roman"/>
          <w:sz w:val="20"/>
          <w:u w:val="single"/>
        </w:rPr>
        <w:t>Section 6.01(a)</w:t>
      </w:r>
      <w:r>
        <w:rPr>
          <w:rFonts w:ascii="Times New Roman" w:hAnsi="Times New Roman"/>
          <w:sz w:val="20"/>
        </w:rPr>
        <w:t xml:space="preserve">). Without limiting the generality of the foregoing,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any other distributions (whether in cash, stock or property or any combination thereof) in respect of, any of its capital stock or set any record date therefor, other than dividends by a direct or indirect wholly owned Subsidiary of the Company to its parent;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or reclassify any of its capital stock or issue or authorize the issuance of any other securities in lieu of or in substitution for shares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(iii) repurchase, redeem or otherwise acquire any shares of its capital stock or any options, warrants, phantom stock or other rights to acquire any such shares, other than (A) the acquisition by the Company of shares of Company Common Stock in connection with the surrender of shares of Company Common Stock by holders of Equity-Based Awards in order to pay the exercise price thereof, (B) the withholding of shares of Company Common Stock to satisfy Tax obligations with respect to the Equity-Based Awards and (C) the acquisition by the Company of Equity-Based Awards or in connection with the forfeiture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issue, grant, deliver or sell any shares of its capital stock or other voting securities or equity interests, any securities convertible or exchangeable into any such shares, voting securities or equity interests, any options, warrants, phantom stock or other rights to acquire any such shares, voting securities, equity interests or convertible or exchangeable securities, any stock-based performance units, any Voting Company Debt or any other rights that give any Person the right to receive any economic interest of a nature accruing to the holders of Company Common Stock, other than (A) upon the exercise or settlement of Equity-Based Awards, in each case, outstanding on the date of this Agreement in accordance with their terms as in effect as of the date of this Agreement or (B) as required to comply with any Benefit Plan as in effect on the date of this Agreement and made available to Parent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amend the Company Charter or the Company Bylaws or any of the comparable organizational documents of any Subsidiary of the Company, in each case, whether by merger, consolidation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(vi) acquire, directly or indirectly, whether by purchase, merger, consolidation or acquisition of stock or assets, formation of a joint venture, partnership or similar arrangement, or otherwise, any other Person or any assets, real property, securities, properties, interests, rights, or businesses or make any investment (whether by purchase of stock or securities, contributions to capital, loans to, or property transfers), in each case, other than in the ordinary course of business (it being understood and agreed that the acquisition of all or substantially all of the assets of any Person or of a business or division of any Person is not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acquire, lease, sublease, license, sublicense, grant rights in, transfer, abandon or otherwise dispose of any of, or create or incur any Lien (other than a Permitted Lien) on, any permit or Intellectual Property, its properties (including any Owned Company Intellectual Property), assets (including capital stock of any Subsidiary of the Company), interests or businesses; </w:t>
      </w:r>
    </w:p>
    <w:p>
      <w:pPr>
        <w:pStyle w:val="TextBody"/>
        <w:bidi w:val="0"/>
        <w:spacing w:before="120" w:after="0"/>
        <w:jc w:val="left"/>
        <w:rPr>
          <w:rFonts w:ascii="Times New Roman" w:hAnsi="Times New Roman"/>
          <w:sz w:val="20"/>
        </w:rPr>
      </w:pPr>
      <w:r>
        <w:rPr>
          <w:rFonts w:ascii="Times New Roman" w:hAnsi="Times New Roman"/>
          <w:sz w:val="20"/>
        </w:rPr>
        <w:t>(viii) (A) (1) incur or assume (x) any indebtedness for borrowed money (including the aggregate principal amount thereof and the aggregate amount of any accrued but unpaid interest thereon), (y) any obligations evidenced by bonds, notes, debentures, letters of credit or similar instruments, or in respect of interest rate and currency obligation swaps, hedges or similar arrangements or (z) any obligations under capitalized leases as defined pursuant to GAAP, (2) issue or sell any debt securities or warrants or other rights to acquire any debt securities of the Company or any of its Subsidiaries, (3) enter into any “keep well” or other agreement to maintain any financial statement condition of another Person, or (4) guarantee (or otherwise become liable with respect to) any such indebtedness or any debt securities of another Person (collectively, “</w:t>
      </w:r>
      <w:r>
        <w:rPr>
          <w:rFonts w:ascii="Times New Roman" w:hAnsi="Times New Roman"/>
          <w:sz w:val="20"/>
          <w:u w:val="single"/>
        </w:rPr>
        <w:t>Indebtedness</w:t>
      </w:r>
      <w:r>
        <w:rPr>
          <w:rFonts w:ascii="Times New Roman" w:hAnsi="Times New Roman"/>
          <w:sz w:val="20"/>
        </w:rPr>
        <w:t xml:space="preserve">”), other than (I) intercompany Indebtedness, (II) Indebtedness incurred under the Credit Agreement in the form of Revolving Loans (as defined in the Credit Agreement) in an amount no greater than $100,000,000 in the aggregate (it being understood that, for the avoidance of doubt, any Indebtedness incurred and outstanding in the form of Revolving Loans as of the date hereof shall count towards such aggregate amount), or (III) Indebtedness incurred under the Credit Agreement in connection with funding any of the acquisitions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6.01(a)(vi)</w:t>
      </w:r>
      <w:r>
        <w:rPr>
          <w:rFonts w:ascii="Times New Roman" w:hAnsi="Times New Roman"/>
          <w:sz w:val="20"/>
        </w:rPr>
        <w:t xml:space="preserve"> of the Company Disclosure Letter and approved by the Board (which, for the avoidance of doubt, shall not count towards the $100,000,000 basket in the foregoing </w:t>
      </w:r>
      <w:r>
        <w:rPr>
          <w:rFonts w:ascii="Times New Roman" w:hAnsi="Times New Roman"/>
          <w:sz w:val="20"/>
          <w:u w:val="single"/>
        </w:rPr>
        <w:t>subclause (II)</w:t>
      </w:r>
      <w:r>
        <w:rPr>
          <w:rFonts w:ascii="Times New Roman" w:hAnsi="Times New Roman"/>
          <w:sz w:val="20"/>
        </w:rPr>
        <w:t xml:space="preserve">); or (B) form any Subsidiary or make any loans or capital contributions to, or investments in, any other Person, other than to any direct or indirect wholly owned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except (A) as required by applicable Law, or (B) as required pursuant to the terms of any Benefit Plan or Collective Bargaining Agreement, (1) grant, increase or modify (other than in a </w:t>
      </w:r>
      <w:r>
        <w:rPr>
          <w:rFonts w:ascii="Times New Roman" w:hAnsi="Times New Roman"/>
          <w:i/>
          <w:sz w:val="20"/>
        </w:rPr>
        <w:t>de minimis</w:t>
      </w:r>
      <w:r>
        <w:rPr>
          <w:rFonts w:ascii="Times New Roman" w:hAnsi="Times New Roman"/>
          <w:sz w:val="20"/>
        </w:rPr>
        <w:t xml:space="preserve"> respect without increased cost to the Company or any of its Subsidiaries) the compensation, severance, retention or other benefits to current or former directors, officers, individual service providers or employees, (2) (x) establish, adopt, enter into, terminate, amend or modify in any way any Collective Bargaining Agreement or material Benefit Plan or any benefit or compensation plan, policy, program, agreement or arrangement that would be a material Benefit Plan if in effect as of the date hereof (except for amendments to Benefit Plans made in the ordinary course of business that do not increase (other than in a </w:t>
      </w:r>
      <w:r>
        <w:rPr>
          <w:rFonts w:ascii="Times New Roman" w:hAnsi="Times New Roman"/>
          <w:i/>
          <w:sz w:val="20"/>
        </w:rPr>
        <w:t>de minimis</w:t>
      </w:r>
      <w:r>
        <w:rPr>
          <w:rFonts w:ascii="Times New Roman" w:hAnsi="Times New Roman"/>
          <w:sz w:val="20"/>
        </w:rPr>
        <w:t xml:space="preserve"> respect) the expense of maintaining such plan), or (y) recognize or certify any labor union, labor organization, works council, or group of employees as the bargaining representative for any employees of the Company or its Subsidiaries, (3) take any action to accelerate any rights, payments, vesting or benefits under any material Benefit Plan or any benefit or compensation plan, policy, program, agreement or arrangement that would be a material Benefit Plan if in effect as of the date hereof, (4) grant, modify or amend any cash-based bonuses and incentive compensation or any equity or equity-based awards, (5) hire, engage or terminate (other than for cause) any officer, employee, independent contractor or consultant, with respect to any such Person who has annual compensation in excess of $350,000 (other than in the ordinary course of business consistent with past practice), or (6) waive or release any noncompetition, nonsolicitation, nondisclosure, noninterference, nondisparagement, or other restrictive covenant obligation of any current or former officer or director; </w:t>
      </w:r>
    </w:p>
    <w:p>
      <w:pPr>
        <w:pStyle w:val="TextBody"/>
        <w:bidi w:val="0"/>
        <w:spacing w:before="120" w:after="0"/>
        <w:jc w:val="left"/>
        <w:rPr>
          <w:rFonts w:ascii="Times New Roman" w:hAnsi="Times New Roman"/>
          <w:sz w:val="20"/>
        </w:rPr>
      </w:pPr>
      <w:r>
        <w:rPr>
          <w:rFonts w:ascii="Times New Roman" w:hAnsi="Times New Roman"/>
          <w:sz w:val="20"/>
        </w:rPr>
        <w:t xml:space="preserve">(x) implement any employee layoffs that require the issuance of notices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(xi) settle or compromise any claim or Action, in each case, made or pending against the Company or any of its Subsidiaries which settlement or compromise (A) results in payment obligations of the Company or any of its Subsidiaries in excess of $750,000, (B) involves any admission of guilt or wrongdoing by the Company or any of its Subsidiaries or any of their respective officers or directors or (C) imposes any non-de minimis restriction on the business or operations of the Company or any of its Subsidiaries (or Parent or any of its Subsidiaries after the Closing) or include any non-de minimis non-monetary or injunctive relief; </w:t>
      </w:r>
    </w:p>
    <w:p>
      <w:pPr>
        <w:pStyle w:val="TextBody"/>
        <w:bidi w:val="0"/>
        <w:spacing w:before="120" w:after="0"/>
        <w:jc w:val="left"/>
        <w:rPr>
          <w:rFonts w:ascii="Times New Roman" w:hAnsi="Times New Roman"/>
          <w:sz w:val="20"/>
        </w:rPr>
      </w:pPr>
      <w:r>
        <w:rPr>
          <w:rFonts w:ascii="Times New Roman" w:hAnsi="Times New Roman"/>
          <w:sz w:val="20"/>
        </w:rPr>
        <w:t xml:space="preserve">(xii) make any material change in accounting methods, principles or practices by the Company or any of its Subsidiaries materially affecting the consolidated assets, liabilities or results of operations of the Company, except as required (A) by GAAP or (B) by Law, including Regulation S-X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adopt a plan of merger, consolidation, complete or partial liquidation, dissolution, restructuring, recapitalization or other reorganization of the Company or any of its Subsidiaries (other than reorganizations solely among direct or indirect wholly owned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make, change, revoke or rescind any material election relating to Taxes, make any amendment with respect to any material Tax Return, settle or compromise any material Tax liability, or any material Tax claim or assessment relating to the Company or any of its Subsidiaries, consent to an extension of the period of assessment or collection of a material amount of Taxes, request any rulings from or enter into any closing agreement with any Governmental Authority for a material amount of Taxes, surrender any right to claim a material Tax refund, change an annual accounting period for Tax purposes, adopt or change any accounting method for Tax purposes, enter into any Tax Sharing Agreements or similar agreements, including Tax indemnity agreements (other than commercial agreements or arrangement not primarily related to Taxes and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 make any capital expenditures, other than in accordance with the capital expenditure budget of the Company for the 2026 fiscal year that was approved by the Board prior to the date hereof and is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 terminate, cancel, amend or modify in any material respect, or waive, release or assign any material rights or material claims under, any Company Material Contract, Real Property Lease, any Contract referred to in </w:t>
      </w:r>
      <w:r>
        <w:rPr>
          <w:rFonts w:ascii="Times New Roman" w:hAnsi="Times New Roman"/>
          <w:sz w:val="20"/>
          <w:u w:val="single"/>
        </w:rPr>
        <w:t>clause (y)</w:t>
      </w:r>
      <w:r>
        <w:rPr>
          <w:rFonts w:ascii="Times New Roman" w:hAnsi="Times New Roman"/>
          <w:sz w:val="20"/>
        </w:rPr>
        <w:t xml:space="preserve"> below, or any Contract entered into on or after the date of this Agreement that would have been considered a Company Material Contract or Real Property Lease or a Contract referred to in </w:t>
      </w:r>
      <w:r>
        <w:rPr>
          <w:rFonts w:ascii="Times New Roman" w:hAnsi="Times New Roman"/>
          <w:sz w:val="20"/>
          <w:u w:val="single"/>
        </w:rPr>
        <w:t>clause (y)</w:t>
      </w:r>
      <w:r>
        <w:rPr>
          <w:rFonts w:ascii="Times New Roman" w:hAnsi="Times New Roman"/>
          <w:sz w:val="20"/>
        </w:rPr>
        <w:t> below if it had been entered into prior to the date of this Agreement (“</w:t>
      </w:r>
      <w:r>
        <w:rPr>
          <w:rFonts w:ascii="Times New Roman" w:hAnsi="Times New Roman"/>
          <w:sz w:val="20"/>
          <w:u w:val="single"/>
        </w:rPr>
        <w:t>New Specified Contracts</w:t>
      </w:r>
      <w:r>
        <w:rPr>
          <w:rFonts w:ascii="Times New Roman" w:hAnsi="Times New Roman"/>
          <w:sz w:val="20"/>
        </w:rPr>
        <w:t xml:space="preserve">”) (other than in the ordinary course of business), or (B) enter into (x) any New Specified Contract (other than in the ordinary course of business), (y) any Contract that provides for the purchase of real property or (z) any Contract that contains a change in control provision in favor of the other party or parties thereto that requires a material payment to or would give rise to any material rights (including termination rights) of such other party or parties in connection with the consummation of the Merger (including in combination with any other event or circumstance); </w:t>
      </w:r>
    </w:p>
    <w:p>
      <w:pPr>
        <w:pStyle w:val="TextBody"/>
        <w:bidi w:val="0"/>
        <w:spacing w:before="120" w:after="0"/>
        <w:jc w:val="left"/>
        <w:rPr>
          <w:rFonts w:ascii="Times New Roman" w:hAnsi="Times New Roman"/>
          <w:sz w:val="20"/>
        </w:rPr>
      </w:pPr>
      <w:r>
        <w:rPr>
          <w:rFonts w:ascii="Times New Roman" w:hAnsi="Times New Roman"/>
          <w:sz w:val="20"/>
        </w:rPr>
        <w:t xml:space="preserve">(xvii) adopt or implement any stockholder rights plan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(xviii) knowingly take any action which may cause this Agreement or the Merger contemplated hereby to not comply with the provisions set forth in Section 144 of the DGCL; </w:t>
      </w:r>
    </w:p>
    <w:p>
      <w:pPr>
        <w:pStyle w:val="TextBody"/>
        <w:bidi w:val="0"/>
        <w:spacing w:before="120" w:after="0"/>
        <w:jc w:val="left"/>
        <w:rPr>
          <w:rFonts w:ascii="Times New Roman" w:hAnsi="Times New Roman"/>
          <w:sz w:val="20"/>
        </w:rPr>
      </w:pPr>
      <w:r>
        <w:rPr>
          <w:rFonts w:ascii="Times New Roman" w:hAnsi="Times New Roman"/>
          <w:sz w:val="20"/>
        </w:rPr>
        <w:t xml:space="preserve">(xix) commence any new line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(xx) authorize any of, or commit or agree to take any of, the foregoing actions in the preceding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Nothing contained in this Agreement is intended to give Parent, Intermediate or Merger Sub, directly or indirectly, the right to control or direct the Company’s or its Subsidiaries’ operations prior to the Effective Time. Prior to the Effective Time, the Company shall exercise, consistent with the other terms and conditions of this Agreement, complete control and supervision over its and its Subsidiaries’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6.02 </w:t>
      </w:r>
      <w:r>
        <w:rPr>
          <w:rFonts w:ascii="Times New Roman" w:hAnsi="Times New Roman"/>
          <w:sz w:val="20"/>
          <w:u w:val="single"/>
        </w:rPr>
        <w:t>No Solicitation; Change in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w:t>
      </w:r>
      <w:r>
        <w:rPr>
          <w:rFonts w:ascii="Times New Roman" w:hAnsi="Times New Roman"/>
          <w:sz w:val="20"/>
        </w:rPr>
        <w:t xml:space="preserve">. Except as permitted by this </w:t>
      </w:r>
      <w:r>
        <w:rPr>
          <w:rFonts w:ascii="Times New Roman" w:hAnsi="Times New Roman"/>
          <w:sz w:val="20"/>
          <w:u w:val="single"/>
        </w:rPr>
        <w:t>Section 6.02</w:t>
      </w:r>
      <w:r>
        <w:rPr>
          <w:rFonts w:ascii="Times New Roman" w:hAnsi="Times New Roman"/>
          <w:sz w:val="20"/>
        </w:rPr>
        <w:t xml:space="preserve">, from the date of this Agreement until the Effective Time, or, if earlier, the termination of this Agreement in accordance with </w:t>
      </w:r>
      <w:r>
        <w:rPr>
          <w:rFonts w:ascii="Times New Roman" w:hAnsi="Times New Roman"/>
          <w:sz w:val="20"/>
          <w:u w:val="single"/>
        </w:rPr>
        <w:t>Section 8.01</w:t>
      </w:r>
      <w:r>
        <w:rPr>
          <w:rFonts w:ascii="Times New Roman" w:hAnsi="Times New Roman"/>
          <w:sz w:val="20"/>
        </w:rPr>
        <w:t xml:space="preserve">, the Company shall not, and shall cause its Subsidiaries and its and their respective Representatives not to, directly or indirectly, (i) solicit, initiate, knowingly facilitate or knowingly encourage any inquiries, proposals or offers that constitute or would reasonably be expected to lead to any Takeover Proposal, (ii) provide any non-public information concerning, or any access to the business, properties, assets, books, records or personnel of, the Company or any of its Subsidiaries to any Third Party (or any Representative thereof) who would reasonably be expected to make any Takeover Proposal, except for information and access provided to customers and suppliers of the Company or any of its Subsidiaries solely to the extent (x) done in the ordinary course of business consistent with past practice and (y) not related to any Takeover Proposal, (iii) engage, or otherwise participate in any discussions or negotiations with any Third Party with respect to any Takeover Proposal or any inquiry, proposal or offer that constitutes or would reasonably be expected to lead to a Takeover Proposal (other than informing Third Parties of the existence of the provisions contained in this </w:t>
      </w:r>
      <w:r>
        <w:rPr>
          <w:rFonts w:ascii="Times New Roman" w:hAnsi="Times New Roman"/>
          <w:sz w:val="20"/>
          <w:u w:val="single"/>
        </w:rPr>
        <w:t>Section 6.02</w:t>
      </w:r>
      <w:r>
        <w:rPr>
          <w:rFonts w:ascii="Times New Roman" w:hAnsi="Times New Roman"/>
          <w:sz w:val="20"/>
        </w:rPr>
        <w:t xml:space="preserve"> and engaging in discussions with any Person or group or their respective Representatives who has made a Takeover Proposal solely for the purpose of clarifying the terms of such Takeover Proposal or determining whether such Person intends to provide any documents (or additional documents) containing the terms and conditions of such Takeover Proposal), (iv) approve, support, adopt, endorse, recommend or declare advisable any Takeover Proposal or any Acquisition Agreement relating thereto, (v) enter into any Acquisition Agreement, or (vi) resolve or agree to do any of the foregoing. Except as permitted by this </w:t>
      </w:r>
      <w:r>
        <w:rPr>
          <w:rFonts w:ascii="Times New Roman" w:hAnsi="Times New Roman"/>
          <w:sz w:val="20"/>
          <w:u w:val="single"/>
        </w:rPr>
        <w:t>Section 6.02</w:t>
      </w:r>
      <w:r>
        <w:rPr>
          <w:rFonts w:ascii="Times New Roman" w:hAnsi="Times New Roman"/>
          <w:sz w:val="20"/>
        </w:rPr>
        <w:t xml:space="preserve">, from and after the date of this Agreement, the Company shall, and shall cause its Subsidiaries and its and their respective Representatives to, (A) immediately following execution and delivery of this Agreement, cease and cause to be terminated all existing discussions or negotiations with any Third Party conducted prior to such time with respect to any Takeover Proposal, or any inquiry or proposal that would reasonably be expected to lead to a Takeover Proposal and terminate access by any Third Party to any physical or electronic data room relating to any Takeover Proposal or any inquiry, proposal or offer that would reasonably be expected to lead to a Takeover Proposal and (B) promptly, and in any event within 24 hours following such time, request the prompt return or destruction of any non-public information provided to any Third Party in connection with any Takeover Proposal or any inquiry, proposal or offer that would reasonably be expected to lead to a Takeover Proposal, and all documents incorporating such information created by any such Third Party, in each case, to the extent that the Company is entitled to have such documents returned or destroyed. Any violation of the restrictions set forth in this </w:t>
      </w:r>
      <w:r>
        <w:rPr>
          <w:rFonts w:ascii="Times New Roman" w:hAnsi="Times New Roman"/>
          <w:sz w:val="20"/>
          <w:u w:val="single"/>
        </w:rPr>
        <w:t>Section 6.02</w:t>
      </w:r>
      <w:r>
        <w:rPr>
          <w:rFonts w:ascii="Times New Roman" w:hAnsi="Times New Roman"/>
          <w:sz w:val="20"/>
        </w:rPr>
        <w:t xml:space="preserve"> by any Representative of the Company or any of its Subsidiaries shall be deemed to be a breach of this </w:t>
      </w:r>
      <w:r>
        <w:rPr>
          <w:rFonts w:ascii="Times New Roman" w:hAnsi="Times New Roman"/>
          <w:sz w:val="20"/>
          <w:u w:val="single"/>
        </w:rPr>
        <w:t>Section 6.02</w:t>
      </w:r>
      <w:r>
        <w:rPr>
          <w:rFonts w:ascii="Times New Roman" w:hAnsi="Times New Roman"/>
          <w:sz w:val="20"/>
        </w:rPr>
        <w:t xml:space="preserve"> by the Company. Notwithstanding anything to the contrary contained in this Agreement, the Company shall be permitted to grant waivers of, and not enforce, any standstill provision or similar provision that has the effect of prohibiting the counterparty thereto from making an unsolicited Takeover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Takeover Proposal</w:t>
      </w:r>
      <w:r>
        <w:rPr>
          <w:rFonts w:ascii="Times New Roman" w:hAnsi="Times New Roman"/>
          <w:sz w:val="20"/>
        </w:rPr>
        <w:t xml:space="preserve">” means any inquiry, proposal or offer, including any amendment or modification to any existing offer or proposal, whether or not in writing from a Third Party (or any Representative thereof acting in their capacity as such), relating to any transaction or series of related transactions that, if consummated, would result in (A) any direct or indirect acquisition or purchase of a business or assets of the Company or its Subsidiaries (including pursuant to a partnership or joint venture) by a Third Party that constitutes 20% or more of the net revenues, net income or total assets (which includes, for the avoidance of doubt, the equity securities of any Subsidiaries of the Company) of the Company and its Subsidiaries on a consolidated basis, (B) the direct or indirect issuance to a Third Party or acquisition by such Third Party of the beneficial ownership of 20% or more of the equity interests in or total voting power of the Company or (C) a direct or indirect merger, consolidation, share exchange, reorganization, recapitalization, partnership, joint venture, consolidation or other business combination, sale of shares of capital stock, sale of assets, tender offer, exchange offer or other transaction, which would, after giving effect to such a transaction, have the effect of any of the transactions contemplated by the immediately preceding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Wherever the term “</w:t>
      </w:r>
      <w:r>
        <w:rPr>
          <w:rFonts w:ascii="Times New Roman" w:hAnsi="Times New Roman"/>
          <w:sz w:val="20"/>
          <w:u w:val="single"/>
        </w:rPr>
        <w:t>group</w:t>
      </w:r>
      <w:r>
        <w:rPr>
          <w:rFonts w:ascii="Times New Roman" w:hAnsi="Times New Roman"/>
          <w:sz w:val="20"/>
        </w:rPr>
        <w:t xml:space="preserve">” is used in this </w:t>
      </w:r>
      <w:r>
        <w:rPr>
          <w:rFonts w:ascii="Times New Roman" w:hAnsi="Times New Roman"/>
          <w:sz w:val="20"/>
          <w:u w:val="single"/>
        </w:rPr>
        <w:t>Section 6.02</w:t>
      </w:r>
      <w:r>
        <w:rPr>
          <w:rFonts w:ascii="Times New Roman" w:hAnsi="Times New Roman"/>
          <w:sz w:val="20"/>
        </w:rPr>
        <w:t xml:space="preserve">, it is used as defined in Rule 13d-5 promulgated under the Exchange Act.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Takeover Proposal (with references to 20% therein being deemed to be replaced with references to 50%) that did not result from an intentional and material breach by the Company of this </w:t>
      </w:r>
      <w:r>
        <w:rPr>
          <w:rFonts w:ascii="Times New Roman" w:hAnsi="Times New Roman"/>
          <w:sz w:val="20"/>
          <w:u w:val="single"/>
        </w:rPr>
        <w:t>Section 6.02</w:t>
      </w:r>
      <w:r>
        <w:rPr>
          <w:rFonts w:ascii="Times New Roman" w:hAnsi="Times New Roman"/>
          <w:sz w:val="20"/>
        </w:rPr>
        <w:t xml:space="preserve">, that the Board (acting upon the recommendation of the Special Committee) or the Special Committee determines in good faith, after consultation with its financial advisor and outside legal counsel, (A) is reasonably likely to be consummated in accordance with its terms and (B) if consummated, would be more favorable, from a financial point of view, to the Disinterested Stockholders than the Merger, in each case, taking into account such financial, legal, financing, regulatory and other aspects of such Takeover Proposal (including the identity of the Third Party making the Takeover Proposal) and of this Agreement as the Board or the Special Committee considers in good faith to be appropriate (including any changes to the terms of this Agreement proposed by Parent in a written offer in response thereto pursuant to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Intervening Event</w:t>
      </w:r>
      <w:r>
        <w:rPr>
          <w:rFonts w:ascii="Times New Roman" w:hAnsi="Times New Roman"/>
          <w:sz w:val="20"/>
        </w:rPr>
        <w:t xml:space="preserve">” means a change, event, occurrence or fact that is material to the Company and its Subsidiaries, taken as a whole, (other than any change, event, occurrence or fact to the extent resulting from an intentional and material breach of this Agreement by the Company), that was not known to, nor reasonably foreseeable by, the Board or the Special Committee as of the date of this Agreement (or, if known or reasonably foreseeable, the magnitude or material, the consequences of which were not known to, nor reasonably foreseeable by, the Board or the Special Committee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following constitute or give rise to an Intervening Event: (A) any Takeover Proposal, (B) the fact, in and of itself, that the Company exceeds internal or published projections (it being understood that the underlying cause of such outperformance may constitute or give rise to an Intervening Event unless otherwise excluded by this definition) or (C) any change, in and of itself, in the market price or trading volume of the Company Common Stock (it being understood that the underlying cause of such outperformance may constitute or give rise to an Intervening Event unless otherwise excluded by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Discussions</w:t>
      </w:r>
      <w:r>
        <w:rPr>
          <w:rFonts w:ascii="Times New Roman" w:hAnsi="Times New Roman"/>
          <w:i/>
          <w:sz w:val="20"/>
        </w:rPr>
        <w:t xml:space="preserve">. </w:t>
      </w:r>
      <w:r>
        <w:rPr>
          <w:rFonts w:ascii="Times New Roman" w:hAnsi="Times New Roman"/>
          <w:sz w:val="20"/>
        </w:rPr>
        <w:t xml:space="preserve">Notwithstanding anything to the contrary contained in this Agreement, if at any time following the date of this Agreement and prior to obtaining the Company Requisite Stockholder Approvals, the Company receives an unsolicited </w:t>
      </w:r>
      <w:r>
        <w:rPr>
          <w:rFonts w:ascii="Times New Roman" w:hAnsi="Times New Roman"/>
          <w:i/>
          <w:sz w:val="20"/>
        </w:rPr>
        <w:t>bona fide</w:t>
      </w:r>
      <w:r>
        <w:rPr>
          <w:rFonts w:ascii="Times New Roman" w:hAnsi="Times New Roman"/>
          <w:sz w:val="20"/>
        </w:rPr>
        <w:t xml:space="preserve">, written Takeover Proposal from a Third Party made after such date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the Board, acting upon the recommendation of the Special Committee, or the Special Committee determines in good faith, after consultation with its financial advisor and outside legal counsel, that such Takeover Proposal constitutes or would reasonably be expected to lead to a Superior Proposal, then the Company (and its Representatives) may (i) enter into an Acceptable Confidentiality Agreement with the Third Party making such Takeover Proposal and, after entering into such Acceptable Confidentiality Agreement (a copy of which shall be furnished promptly to Parent), furnish information (including non-public information) or access thereto with respect to the Company and its Subsidiaries to such Third Party pursuant to such Acceptable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promptly provide to Parent (and in any event no later than twenty-four (24) hours) any non-public information concerning the Company or its Subsidiaries to which such Third Party is provided access and which was not previously provided to Parent, or (ii) participate or engage in discussions or negotiations with such Third Party or group and its Representatives regarding such Takeover Proposal.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Parent of Takeover Proposals</w:t>
      </w:r>
      <w:r>
        <w:rPr>
          <w:rFonts w:ascii="Times New Roman" w:hAnsi="Times New Roman"/>
          <w:i/>
          <w:sz w:val="20"/>
        </w:rPr>
        <w:t xml:space="preserve">. </w:t>
      </w:r>
      <w:r>
        <w:rPr>
          <w:rFonts w:ascii="Times New Roman" w:hAnsi="Times New Roman"/>
          <w:sz w:val="20"/>
        </w:rPr>
        <w:t xml:space="preserve">The Company shall promptly (and, in any event, within 24 hours) notify Parent in writing in the event that the Company or any of its Representatives receives any Takeover Proposal, and in connection with such notice, provide the identity of the Person or group making such Takeover Proposal and a written summary of the material terms and conditions thereof, including price, form of consideration, transaction structure, financing terms, and material conditions, and thereafter the Company shall keep Parent reasonably informed on a prompt basis (and, in any event, 24 hours) of any material changes to the status or terms of any such Takeover Proposal (including all material oral terms and conditions related to any Takeover Proposal as contemplated by this </w:t>
      </w:r>
      <w:r>
        <w:rPr>
          <w:rFonts w:ascii="Times New Roman" w:hAnsi="Times New Roman"/>
          <w:sz w:val="20"/>
          <w:u w:val="single"/>
        </w:rPr>
        <w:t>Section 6.02(d)</w:t>
      </w:r>
      <w:r>
        <w:rPr>
          <w:rFonts w:ascii="Times New Roman" w:hAnsi="Times New Roman"/>
          <w:sz w:val="20"/>
        </w:rPr>
        <w:t xml:space="preserve">). The Company agrees that it and its Subsidiaries will not enter into any confidentiality or similar agreement with any Person from and after the date of this Agreement that prohibits or otherwise restricts the Company from providing any information to Parent in accordance with this </w:t>
      </w:r>
      <w:r>
        <w:rPr>
          <w:rFonts w:ascii="Times New Roman" w:hAnsi="Times New Roman"/>
          <w:sz w:val="20"/>
          <w:u w:val="single"/>
        </w:rPr>
        <w:t>Section 6.02(d)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Prohibited Activities</w:t>
      </w:r>
      <w:r>
        <w:rPr>
          <w:rFonts w:ascii="Times New Roman" w:hAnsi="Times New Roman"/>
          <w:i/>
          <w:sz w:val="20"/>
        </w:rPr>
        <w:t xml:space="preserve">. </w:t>
      </w:r>
      <w:r>
        <w:rPr>
          <w:rFonts w:ascii="Times New Roman" w:hAnsi="Times New Roman"/>
          <w:sz w:val="20"/>
        </w:rPr>
        <w:t xml:space="preserve">Except as set forth in this </w:t>
      </w:r>
      <w:r>
        <w:rPr>
          <w:rFonts w:ascii="Times New Roman" w:hAnsi="Times New Roman"/>
          <w:sz w:val="20"/>
          <w:u w:val="single"/>
        </w:rPr>
        <w:t>Section 6.02</w:t>
      </w:r>
      <w:r>
        <w:rPr>
          <w:rFonts w:ascii="Times New Roman" w:hAnsi="Times New Roman"/>
          <w:sz w:val="20"/>
        </w:rPr>
        <w:t xml:space="preserve">, neither the Board nor any committee thereof, including the Special Committee, shall (i) (A) withhold, withdraw or rescind (or modify or qualify in a manner adverse to Parent, Intermediate or Merger Sub), or publicly propose to withhold, withdraw or rescind (or modify or qualify in a manner adverse to Parent, Intermediate or Merger Sub), the Company Board Recommendation or the Special Committee Recommendation, or fail to include the Company Board Recommendation or the Special Committee Recommendation in the Proxy Statement, (B) approve, authorize, or recommend the adoption of, or publicly propose to approve, declare the advisability of or recommend the adoption of, any Takeover Proposal, (C) fail to recommend against the acceptance of any tender offer or exchange offer for the Company Common Stock within 10 Business Days after the commencement of such offer, (D) fail to publicly reaffirm the Company Board Recommendation or the Special Committee Recommendation, as applicable, within five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Days after Parent so requests in writing (it being understood that the Company will have no obligation to make such reaffirmation on more than two (2) separate occasions plus one more time for each time a Takeover Proposal or material modification thereto shall have become publicly known) or (E) publicly propose or announce an intention to take, or resolve or agree to take, any of the foregoing actions (any action or inaction described in this </w:t>
      </w:r>
      <w:r>
        <w:rPr>
          <w:rFonts w:ascii="Times New Roman" w:hAnsi="Times New Roman"/>
          <w:sz w:val="20"/>
          <w:u w:val="single"/>
        </w:rPr>
        <w:t>clause (i)</w:t>
      </w:r>
      <w:r>
        <w:rPr>
          <w:rFonts w:ascii="Times New Roman" w:hAnsi="Times New Roman"/>
          <w:sz w:val="20"/>
        </w:rPr>
        <w:t> being referred to as an “</w:t>
      </w:r>
      <w:r>
        <w:rPr>
          <w:rFonts w:ascii="Times New Roman" w:hAnsi="Times New Roman"/>
          <w:sz w:val="20"/>
          <w:u w:val="single"/>
        </w:rPr>
        <w:t>Adverse Recommendation Change</w:t>
      </w:r>
      <w:r>
        <w:rPr>
          <w:rFonts w:ascii="Times New Roman" w:hAnsi="Times New Roman"/>
          <w:sz w:val="20"/>
        </w:rPr>
        <w:t>”) or (ii) cause or permit the Company or any of its Subsidiaries to execute or enter into, any letter of intent, memorandum of understanding, agreement in principle, term sheet, agreement and plan of merger, acquisition agreement, option agreement, joint venture agreement, partnership agreement or other agreement related to, or that contemplates or would reasonably be expected to lead to, any Takeover Proposal, or that requires, or is reasonably expected to cause, the Company to abandon, terminate, delay or fail to consummate, or that would otherwise materially impede, interfere with or be inconsistent with the transactions contemplated by this Agreement (other than any Acceptable Confidentiality Agreement) (collectively, an “</w:t>
      </w:r>
      <w:r>
        <w:rPr>
          <w:rFonts w:ascii="Times New Roman" w:hAnsi="Times New Roman"/>
          <w:sz w:val="20"/>
          <w:u w:val="single"/>
        </w:rPr>
        <w:t>Acquisition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the Board, acting upon the recommendation of the Special Committee, or the Special Committee may make an Adverse Recommendation Change in response to an Intervening Event if the Board, acting on the recommendation of the Special Committee, or the Special Committee determines in good faith, after consultation with its outside legal counsel, that the failure to do so would reasonably be expected to be inconsistent with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Superior Proposal</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if in response to an unsolicited </w:t>
      </w:r>
      <w:r>
        <w:rPr>
          <w:rFonts w:ascii="Times New Roman" w:hAnsi="Times New Roman"/>
          <w:i/>
          <w:sz w:val="20"/>
        </w:rPr>
        <w:t xml:space="preserve">bona fide </w:t>
      </w:r>
      <w:r>
        <w:rPr>
          <w:rFonts w:ascii="Times New Roman" w:hAnsi="Times New Roman"/>
          <w:sz w:val="20"/>
        </w:rPr>
        <w:t xml:space="preserve">written Takeover Proposal made after the date of this Agreement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which has not been withdrawn, the Board, acting on the recommendation of the Special Committee, or the Special Committee determines in good faith, after consultation with its outside legal counsel and its financial advisor, that such Takeover Proposal constitutes a Superior Proposal and the failure to take any of the actions contemplated by the following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6.02(g)</w:t>
      </w:r>
      <w:r>
        <w:rPr>
          <w:rFonts w:ascii="Times New Roman" w:hAnsi="Times New Roman"/>
          <w:sz w:val="20"/>
        </w:rPr>
        <w:t xml:space="preserve"> with respect to such Superior Proposal would reasonably be expected to be inconsistent with its fiduciary duties under applicable Law, (i) the Board may make an Adverse Recommendation Change with respect to such Superior Proposal or (ii) the Company may terminate this Agreement pursuant to </w:t>
      </w:r>
      <w:r>
        <w:rPr>
          <w:rFonts w:ascii="Times New Roman" w:hAnsi="Times New Roman"/>
          <w:sz w:val="20"/>
          <w:u w:val="single"/>
        </w:rPr>
        <w:t>Section 8.01(d)(ii)</w:t>
      </w:r>
      <w:r>
        <w:rPr>
          <w:rFonts w:ascii="Times New Roman" w:hAnsi="Times New Roman"/>
          <w:sz w:val="20"/>
        </w:rPr>
        <w:t xml:space="preserve"> in order to enter into a definitive Acquisition Agreement with respect to such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to the contrary contained in this Agreement, the Company shall not be entitled to make an Adverse Recommendation Change pursuant to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or terminate this Agreement pursuant to </w:t>
      </w:r>
      <w:r>
        <w:rPr>
          <w:rFonts w:ascii="Times New Roman" w:hAnsi="Times New Roman"/>
          <w:sz w:val="20"/>
          <w:u w:val="single"/>
        </w:rPr>
        <w:t>Section 8.01(d)(ii)</w:t>
      </w:r>
      <w:r>
        <w:rPr>
          <w:rFonts w:ascii="Times New Roman" w:hAnsi="Times New Roman"/>
          <w:sz w:val="20"/>
        </w:rPr>
        <w:t xml:space="preserve"> unless (x) the Company shall have provided to Parent four Business Days’ prior written notice (the “</w:t>
      </w:r>
      <w:r>
        <w:rPr>
          <w:rFonts w:ascii="Times New Roman" w:hAnsi="Times New Roman"/>
          <w:sz w:val="20"/>
          <w:u w:val="single"/>
        </w:rPr>
        <w:t>Match Right Notice</w:t>
      </w:r>
      <w:r>
        <w:rPr>
          <w:rFonts w:ascii="Times New Roman" w:hAnsi="Times New Roman"/>
          <w:sz w:val="20"/>
        </w:rPr>
        <w:t xml:space="preserve">”), advising Parent that the Company intends to take such action (and specifying, in reasonable detail, the reasons for such action and (1) with respect to a Superior Proposal, the material terms and conditions of any such Superior Proposal (and disclosing the identity of the Third Party making such Superior Proposal) and providing all information and materials in respect of such Superior Proposal (including unredacted copies of any written Takeover Proposals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unredacted proposed agreements and other documents related thereto) or (2) with respect to an Intervening Event, the details of such Intervening Event), and (y): </w:t>
      </w:r>
    </w:p>
    <w:p>
      <w:pPr>
        <w:pStyle w:val="TextBody"/>
        <w:bidi w:val="0"/>
        <w:spacing w:before="120" w:after="0"/>
        <w:jc w:val="left"/>
        <w:rPr>
          <w:rFonts w:ascii="Times New Roman" w:hAnsi="Times New Roman"/>
          <w:sz w:val="20"/>
        </w:rPr>
      </w:pPr>
      <w:r>
        <w:rPr>
          <w:rFonts w:ascii="Times New Roman" w:hAnsi="Times New Roman"/>
          <w:sz w:val="20"/>
        </w:rPr>
        <w:t xml:space="preserve">(i) during such four Business Day period, if requested in writing by Parent in good faith, the Company and its Representatives shall have engaged in good faith negotiations with Parent regarding changes to the terms of this Agreement proposed by Parent or another proposal to the extent proposed by Parent so that an Adverse Recommendation Change would no longer be necessary or to cause such Takeover Proposal to no longer constitute a Superior Proposal, as applicable; and </w:t>
      </w:r>
    </w:p>
    <w:p>
      <w:pPr>
        <w:pStyle w:val="TextBody"/>
        <w:bidi w:val="0"/>
        <w:spacing w:before="120" w:after="0"/>
        <w:jc w:val="left"/>
        <w:rPr>
          <w:rFonts w:ascii="Times New Roman" w:hAnsi="Times New Roman"/>
          <w:sz w:val="20"/>
        </w:rPr>
      </w:pPr>
      <w:r>
        <w:rPr>
          <w:rFonts w:ascii="Times New Roman" w:hAnsi="Times New Roman"/>
          <w:sz w:val="20"/>
        </w:rPr>
        <w:t>(ii) the Special Committee shall have considered any adjustments to this Agreement (the “</w:t>
      </w:r>
      <w:r>
        <w:rPr>
          <w:rFonts w:ascii="Times New Roman" w:hAnsi="Times New Roman"/>
          <w:sz w:val="20"/>
          <w:u w:val="single"/>
        </w:rPr>
        <w:t>Proposed Changed Terms</w:t>
      </w:r>
      <w:r>
        <w:rPr>
          <w:rFonts w:ascii="Times New Roman" w:hAnsi="Times New Roman"/>
          <w:sz w:val="20"/>
        </w:rPr>
        <w:t xml:space="preserve">”) no later than 11:59 p.m., New York City time, on the fourth Business Day of such four Business Day period and shall have determined in good faith, after consultation with its outside legal counsel and, with respect to a Superior Proposal, its financial advisor, that, after giving effect to such Proposed Changed Terms, the failure to make the Adverse Recommendation Change or terminate this Agreement pursuant to </w:t>
      </w:r>
      <w:r>
        <w:rPr>
          <w:rFonts w:ascii="Times New Roman" w:hAnsi="Times New Roman"/>
          <w:sz w:val="20"/>
          <w:u w:val="single"/>
        </w:rPr>
        <w:t>Section 8.01(d)(ii)</w:t>
      </w:r>
      <w:r>
        <w:rPr>
          <w:rFonts w:ascii="Times New Roman" w:hAnsi="Times New Roman"/>
          <w:sz w:val="20"/>
        </w:rPr>
        <w:t xml:space="preserve">, as applicable,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(x) material changes in the changes, effects, events, occurrences or facts relating to an Intervening Event and (y) changes to the financial terms, or material revisions to the other terms, of a Superior Proposal, the Company shall, in each case, deliver to Parent a new Match Right Notice consistent with that described in this </w:t>
      </w:r>
      <w:r>
        <w:rPr>
          <w:rFonts w:ascii="Times New Roman" w:hAnsi="Times New Roman"/>
          <w:sz w:val="20"/>
          <w:u w:val="single"/>
        </w:rPr>
        <w:t>Section 6.02(h)</w:t>
      </w:r>
      <w:r>
        <w:rPr>
          <w:rFonts w:ascii="Times New Roman" w:hAnsi="Times New Roman"/>
          <w:sz w:val="20"/>
        </w:rPr>
        <w:t xml:space="preserve">, except that references to four Business Days in this </w:t>
      </w:r>
      <w:r>
        <w:rPr>
          <w:rFonts w:ascii="Times New Roman" w:hAnsi="Times New Roman"/>
          <w:sz w:val="20"/>
          <w:u w:val="single"/>
        </w:rPr>
        <w:t>Section 6.02(h)</w:t>
      </w:r>
      <w:r>
        <w:rPr>
          <w:rFonts w:ascii="Times New Roman" w:hAnsi="Times New Roman"/>
          <w:sz w:val="20"/>
        </w:rPr>
        <w:t xml:space="preserve"> shall be deemed to be two Business Days (it being understood that the delivery of such new Match Right Notice shall not, in any event, shorten the duration of the initial four Business Day period in respect of the initial related Match Right notice).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Communications with Stockholders</w:t>
      </w:r>
      <w:r>
        <w:rPr>
          <w:rFonts w:ascii="Times New Roman" w:hAnsi="Times New Roman"/>
          <w:sz w:val="20"/>
        </w:rPr>
        <w:t xml:space="preserve">. Nothing contained in this </w:t>
      </w:r>
      <w:r>
        <w:rPr>
          <w:rFonts w:ascii="Times New Roman" w:hAnsi="Times New Roman"/>
          <w:sz w:val="20"/>
          <w:u w:val="single"/>
        </w:rPr>
        <w:t>Agreement</w:t>
      </w:r>
      <w:r>
        <w:rPr>
          <w:rFonts w:ascii="Times New Roman" w:hAnsi="Times New Roman"/>
          <w:sz w:val="20"/>
        </w:rPr>
        <w:t xml:space="preserve"> shall prohibit the Company, the Board or the Special Committee, directly or indirectly through their respective Representatives, from (i) taking and disclosing to the stockholders of the Company any position contemplated by Rule 14d-9, Rule 14e-2(a) or Item 1012(a) of Regulation M-A promulgated under the Exchange Act or (ii) making any disclosure to its stockholders if, in the good faith determination of the Board or any duly authorized committee thereof, including the Special Committee, in each case, after consultation with its outside legal counsel, failure to so disclose would constitute a breach of the Board’s fiduciary duties under applicable Law or (iii) making any “stop-look-and-listen” communication to the holders of the Company Common Stock pursuant to Rule 14d-9(f) promulgated under the Exchange Act (or any similar communications to the holders of the Company Common Stock) in which the Company indicates that it has not changed the Company Board Recommendation or the Special Committee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6.02(i)</w:t>
      </w:r>
      <w:r>
        <w:rPr>
          <w:rFonts w:ascii="Times New Roman" w:hAnsi="Times New Roman"/>
          <w:sz w:val="20"/>
        </w:rPr>
        <w:t xml:space="preserve"> shall be deemed to permit the Board or any duly authorized committee thereof, including the Special Committee, to make an Adverse Recommendation Change except to the extent permitted by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6.03 </w:t>
      </w:r>
      <w:r>
        <w:rPr>
          <w:rFonts w:ascii="Times New Roman" w:hAnsi="Times New Roman"/>
          <w:sz w:val="20"/>
          <w:u w:val="single"/>
        </w:rPr>
        <w:t>Reasonable Best Efforts;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terms and subject to the conditions set forth in this Agreement, each of the parties hereto agrees to use its reasonable best efforts to take, or cause to be taken, all actions necessary, proper or advisable to consummate, as promptly as reasonably practicable, the Merger and the other transactions contemplated by this Agreement, including using reasonable best efforts to: (i) obtain all necessary consents, approvals, orders, waivers and authorizations of, and actions or nonactions by, any Governmental Authority or any Third Party, and make all necessary registrations, declarations and filings with, and notices to, any Governmental Authorities as promptly as practicable and in any event within ten (10) Business Days of the date hereof, and take all steps as may be necessary to avoid a suit, action, proceeding or investigation by any Governmental Authority in connection with the transactions contemplated by this Agreement and (ii) execute and deliver any additional instruments necessary to consummate the transactions contemplated by this Agreement. In furtherance of the foregoing, Parent shall pay all filing fees and other charges for the filings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Parent and its Affiliates shall not be required to effect or undertake (or be required to agree or consent to), and the Company and its Subsidiaries shall not be required to effect or undertake (or be required to agree or consent to) (and the Company and its Subsidiaries should not enter into or undertake without Parent’s prior written consent, except as contemplated by </w:t>
      </w:r>
      <w:r>
        <w:rPr>
          <w:rFonts w:ascii="Times New Roman" w:hAnsi="Times New Roman"/>
          <w:sz w:val="20"/>
          <w:u w:val="single"/>
        </w:rPr>
        <w:t>Section 6.02</w:t>
      </w:r>
      <w:r>
        <w:rPr>
          <w:rFonts w:ascii="Times New Roman" w:hAnsi="Times New Roman"/>
          <w:sz w:val="20"/>
        </w:rPr>
        <w:t xml:space="preserve"> or permitted under </w:t>
      </w:r>
      <w:r>
        <w:rPr>
          <w:rFonts w:ascii="Times New Roman" w:hAnsi="Times New Roman"/>
          <w:sz w:val="20"/>
          <w:u w:val="single"/>
        </w:rPr>
        <w:t>Section 6.01</w:t>
      </w:r>
      <w:r>
        <w:rPr>
          <w:rFonts w:ascii="Times New Roman" w:hAnsi="Times New Roman"/>
          <w:sz w:val="20"/>
        </w:rPr>
        <w:t xml:space="preserve">) any sale, license, divestiture or disposition or holding separate of, or any other structural, behavioral or conduct remedy with respect to, or any other action that alters or restricts in any way the conduct or operation of (in each case, whether before or after the Effective Time) any assets, businesses, divisions, operations, products or product lines, commercial practices, Intellectual Property rights, relationships, contractual rights, obligations or arrangements of Parent or the Company (or any of their respective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(c) Subject to applicable Laws, redaction where necessary, and the instructions of any Governmental Authority, the Company and Parent each shall use its reasonable best efforts to (i) cooperate in all respects with each other in connection with any filing or submission with a Governmental Authority in connection with the Merger and the transactions contemplated by this Agreement and in connection with any investigation or other inquiry by or before a Governmental Authority relating thereto and (ii) keep the other promptly apprised of any non-ministerial communications, and promptly provide copies thereof in the case of any such written communications with any Third Party or any Governmental Authority with respect to the Merger and the other transactions contemplated by this Agreement. Neither the Company nor Parent shall participate in any non-ministerial meeting, telephone call or discussion with any Governmental Authority in respect of any submissions, filings, investigation (including any settlement of the investigation), Action or other inquiry relating to the Merger or the transactions contemplated by this Agreement unless it consults with the other party hereto in advance and, to the extent permitted by such Governmental Authority, gives the other party hereto a reasonable opportunity to attend and participate at such meeting, telephone call or discussion. Subject to reasonable limitations limiting access to outside counsel, the Company and Parent each shall, upon request by the other, consult with the other regarding all information concerning itself, its Subsidiaries, directors, officers and stockholders and such other matters as may be reasonably necessary or advisable in connection with any statement, filing, notice or application made by or on behalf of Parent, the Company or any of their respective Subsidiaries to any Third Party or any Governmental Authority in connection with the Merger and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in no event shall Parent, the Company or any of their respective Subsidiaries be obligated to litigate or participate in the litigation of any Transaction Litigation brought by a Governmental Authority challenging or seeking to restrain, make illegal, prohibit or place conditions on the consummation of the Merger or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the right, in its discretion and at its sole cost and expense and after prior consultation with the Company and the Special Committee, to litigate or participate in the litigation of any such Transaction Litigation, and, if Parent elects to litigate any such action, the Company shall use its commercially reasonable efforts to cooperate with Parent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w:t>
      </w:r>
      <w:r>
        <w:rPr>
          <w:rFonts w:ascii="Times New Roman" w:hAnsi="Times New Roman"/>
          <w:sz w:val="20"/>
          <w:u w:val="single"/>
        </w:rPr>
        <w:t>Section 6.03(d)</w:t>
      </w:r>
      <w:r>
        <w:rPr>
          <w:rFonts w:ascii="Times New Roman" w:hAnsi="Times New Roman"/>
          <w:sz w:val="20"/>
        </w:rPr>
        <w:t xml:space="preserve"> shall require the Company, any of its Subsidiaries, the Board, the Special Committee or any of their respective Representatives to agree to any settlement, remedy, admission of liability, restriction, amendment, waiver, extension or other action that would impose any liability or obligation on, or otherwise be adverse to, the Company, any of its Subsidiaries, the Board, the Special Committee, any Indemnified Party or the Company’s stockholders prior to the Effective Time without the prior approval of the Special Committee. The parties hereto shall promptly advise each other party orally and in writing of any developments (other than immaterial developments) regarding any Transaction Litigation and shall use commercially reasonable efforts to cooperate with each other in connection with the defense, negotiation or settlement of any Transaction Litigation; </w:t>
      </w:r>
      <w:r>
        <w:rPr>
          <w:rFonts w:ascii="Times New Roman" w:hAnsi="Times New Roman"/>
          <w:sz w:val="20"/>
          <w:u w:val="single"/>
        </w:rPr>
        <w:t>provided</w:t>
      </w:r>
      <w:r>
        <w:rPr>
          <w:rFonts w:ascii="Times New Roman" w:hAnsi="Times New Roman"/>
          <w:sz w:val="20"/>
        </w:rPr>
        <w:t xml:space="preserve"> that, with respect to any Transaction Litigation brought against the Company, any of its Subsidiaries, the Board, the Special Committee or any of their respective Representatives, the Company, acting at the direction of the Special Committee, shall control the defense, negotiation and settlement of such Transaction Litigation, subject to Parent’s right to participate at its own cost and expense and to provide comments that the Company shall consider in good faith. The Company shall not compromise, settle or agree to a settlement arrangement regarding any Transaction Litigation without the prior approval of the Special Committee and the prior written consent of Parent, such consent not to be unreasonably withheld, conditioned or delayed. “</w:t>
      </w:r>
      <w:r>
        <w:rPr>
          <w:rFonts w:ascii="Times New Roman" w:hAnsi="Times New Roman"/>
          <w:sz w:val="20"/>
          <w:u w:val="single"/>
        </w:rPr>
        <w:t>Transaction Litigation</w:t>
      </w:r>
      <w:r>
        <w:rPr>
          <w:rFonts w:ascii="Times New Roman" w:hAnsi="Times New Roman"/>
          <w:sz w:val="20"/>
        </w:rPr>
        <w:t xml:space="preserve">” means any Action commenced or threatened against any party hereto or any of its Affiliates by any Governmental Authority or any private party, arising out of or relating to this Agreement, the Merger or any of the other transactions contemplated by this Agreement (other than any 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(e) Parent, the Company or any of their respective Subsidiaries shall not enter into any transaction to effect any transaction that would reasonably be expected to materially increase the time required, or reduce the respective abilities of the parties hereto, to (i) obtain any approval or materially delay the expiration of any waiting period under any antitrust, competition and similar legislation or regulations, including the HSR Act, (ii) avoid the entry of, the commencement of litigation seeking the entry of, or effect the dissolution of, any injunction, temporary restraining order or other order that would have the effect of delaying in any material respect or preventing the consummation of the transactions contemplated hereby or (iii) obtain all consents, Governmental Orders and approvals of Governmental Authorities necessary for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6.04 </w:t>
      </w:r>
      <w:r>
        <w:rPr>
          <w:rFonts w:ascii="Times New Roman" w:hAnsi="Times New Roman"/>
          <w:sz w:val="20"/>
          <w:u w:val="single"/>
        </w:rPr>
        <w:t>Public Announcements</w:t>
      </w:r>
      <w:r>
        <w:rPr>
          <w:rFonts w:ascii="Times New Roman" w:hAnsi="Times New Roman"/>
          <w:sz w:val="20"/>
        </w:rPr>
        <w:t xml:space="preserve">. Unless and until an Adverse Recommendation Change has been effected in accordance with </w:t>
      </w:r>
      <w:r>
        <w:rPr>
          <w:rFonts w:ascii="Times New Roman" w:hAnsi="Times New Roman"/>
          <w:sz w:val="20"/>
          <w:u w:val="single"/>
        </w:rPr>
        <w:t>Section 6.02(h)</w:t>
      </w:r>
      <w:r>
        <w:rPr>
          <w:rFonts w:ascii="Times New Roman" w:hAnsi="Times New Roman"/>
          <w:sz w:val="20"/>
        </w:rPr>
        <w:t xml:space="preserve">, Parent and the Company shall consult with each other before issuing, and give each other the opportunity to review and comment upon, any press release or other public statements with respect to the Merger and the other transactions contemplated by this Agreement, and shall not issue any such press release or make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public statement prior to such consultation, except as may be required by applicable Law, court process or the rules and regulations of Nasdaq (subject to giving advance notice to the other party hereto to the extent reasonably practicable) and except for any matters referred to in, and made in compliance with, </w:t>
      </w:r>
      <w:r>
        <w:rPr>
          <w:rFonts w:ascii="Times New Roman" w:hAnsi="Times New Roman"/>
          <w:sz w:val="20"/>
          <w:u w:val="single"/>
        </w:rPr>
        <w:t>Section 6.02</w:t>
      </w:r>
      <w:r>
        <w:rPr>
          <w:rFonts w:ascii="Times New Roman" w:hAnsi="Times New Roman"/>
          <w:sz w:val="20"/>
        </w:rPr>
        <w:t xml:space="preserve">. Parent, Intermediate, Merger Sub and the Company agree that the initial press release to be issued by each party hereto with respect to the Merger and the other transactions contemplated by this Agreement shall be in the forms mutually agreed to by the Company and Parent. Prior to making any written or oral communications to the employees or independent contractors of the Company or any of its Subsidiaries pertaining to compensation or benefit matters that are affected by the transactions contemplated by this Agreement, the Company shall provide Parent with a copy of the intended communication and a reasonable opportunity to review and comment on the communication; </w:t>
      </w:r>
      <w:r>
        <w:rPr>
          <w:rFonts w:ascii="Times New Roman" w:hAnsi="Times New Roman"/>
          <w:sz w:val="20"/>
          <w:u w:val="single"/>
        </w:rPr>
        <w:t>provided</w:t>
      </w:r>
      <w:r>
        <w:rPr>
          <w:rFonts w:ascii="Times New Roman" w:hAnsi="Times New Roman"/>
          <w:sz w:val="20"/>
        </w:rPr>
        <w:t xml:space="preserve"> that this sentence shall not apply to any communication that is consistent with prior communications agreed to by Parent or with the terms of this Agreement. Notwithstanding the foregoing, this </w:t>
      </w:r>
      <w:r>
        <w:rPr>
          <w:rFonts w:ascii="Times New Roman" w:hAnsi="Times New Roman"/>
          <w:sz w:val="20"/>
          <w:u w:val="single"/>
        </w:rPr>
        <w:t>Section 6.04</w:t>
      </w:r>
      <w:r>
        <w:rPr>
          <w:rFonts w:ascii="Times New Roman" w:hAnsi="Times New Roman"/>
          <w:sz w:val="20"/>
        </w:rPr>
        <w:t xml:space="preserve"> shall not apply to any press release or other public statement made by the Company or Parent that is consistent with previous press releases, public disclosures or public statements made jointly by the parties hereto (or individually, if approved by the other party hereto) and does not contain any information relating to the Company, Parent or the transactions contemplated by this Agreement that has not been previously announced or made public in accordance with the terms of this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6.05 </w:t>
      </w:r>
      <w:r>
        <w:rPr>
          <w:rFonts w:ascii="Times New Roman" w:hAnsi="Times New Roman"/>
          <w:sz w:val="20"/>
          <w:u w:val="single"/>
        </w:rPr>
        <w:t>Access to Information; Notice of Certain Events; 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and shall cause its Subsidiaries and its and their respective Representatives to, afford to Parent and its Representatives, reasonable access upon reasonable prior notice and during normal business hours during the period prior to the earlier of the Effective Time and the termination of this Agreement to its and its Subsidiaries’ properties, books and records (including Tax Returns) and to those employees and Representatives of the Company to whom Parent reasonably requests access, and, during such period, the Company shall furnish to Parent, as promptly as reasonably practicable, all financial, operating and other data and information concerning its and its Subsidiaries’ business, properties and personnel as Parent through its Representatives may reasonably request, in each case for purposes reasonably related to the consummation of the transactions contemplated by this Agreement; </w:t>
      </w:r>
      <w:r>
        <w:rPr>
          <w:rFonts w:ascii="Times New Roman" w:hAnsi="Times New Roman"/>
          <w:sz w:val="20"/>
          <w:u w:val="single"/>
        </w:rPr>
        <w:t>provided</w:t>
      </w:r>
      <w:r>
        <w:rPr>
          <w:rFonts w:ascii="Times New Roman" w:hAnsi="Times New Roman"/>
          <w:sz w:val="20"/>
        </w:rPr>
        <w:t xml:space="preserve">, that (x) none of Parent, any of its Representatives or any of Parent’s Affiliates shall contact any customer or supplier of the Company or any of its Subsidiaries regarding the transactions contemplated by this Agreement without the prior written consent of the Company (not to be unreasonably withheld, conditioned or delayed), and (y) neither Parent nor any of its Representatives or their Affiliates shall conduct any such access or investigation in a manner that unreasonably interferes with the business or operations of the Company or any of its Subsidiaries. Notwithstanding the foregoing, neither the Company nor any of its Subsidiaries shall be required to provide access to or disclose information where the Company reasonably determines that such access or disclosure (i) would jeopardize the attorney-client privilege, attorney work product protection or any other legal privilege of the Company or any of its Subsidiaries (ii) would conflict with or violate any Law in any material respect or breach any confidentiality obligation owed to, or the terms of any Contract with, a Third Party, or (iii) relates to the evaluation, negotiation or deliberations of the Company, the Board or the Special Committee with respect to this Agreement or the transactions contemplated hereby, any Takeover Proposal or any matters addressed in </w:t>
      </w:r>
      <w:r>
        <w:rPr>
          <w:rFonts w:ascii="Times New Roman" w:hAnsi="Times New Roman"/>
          <w:sz w:val="20"/>
          <w:u w:val="single"/>
        </w:rPr>
        <w:t>Section 6.02</w:t>
      </w:r>
      <w:r>
        <w:rPr>
          <w:rFonts w:ascii="Times New Roman" w:hAnsi="Times New Roman"/>
          <w:sz w:val="20"/>
        </w:rPr>
        <w:t xml:space="preserve"> except as set forth therein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with respect to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Company shall use commercially reasonable efforts to allow for such access or disclosure, or as much of it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possible, in a manner that does not result in such jeopardy, conflict, violation or breach, including by entering into a joint defense agreement in customary form, redacting information, or making other appropriate substitute disclosure arrangements). No investigation or access permitted, or knowledge obtained, pursuant to this </w:t>
      </w:r>
      <w:r>
        <w:rPr>
          <w:rFonts w:ascii="Times New Roman" w:hAnsi="Times New Roman"/>
          <w:sz w:val="20"/>
          <w:u w:val="single"/>
        </w:rPr>
        <w:t>Section 6.05</w:t>
      </w:r>
      <w:r>
        <w:rPr>
          <w:rFonts w:ascii="Times New Roman" w:hAnsi="Times New Roman"/>
          <w:sz w:val="20"/>
        </w:rPr>
        <w:t xml:space="preserve"> shall affect or be deemed to modify any representation, warranty, covenant or agreement made by the Company hereunder or otherwise prejudice in any way the rights and remedies of Parent, Intermediate or Merger Sub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Parent shall promptly notify the other of: (i) any notice or other communication from any Person alleging that the consent of such Person is or may be required in connection with any of the transactions contemplated by this Agreement; (ii) any notice or other communication from any Governmental Authority in connection with the transactions contemplated by this Agreement; and (iii) any change, effect, event, circumstance, occurrence or fact, or any breach of any representation, warranty covenant or agreement contained in this Agreement, that (A) has had or would reasonably be expected to have, individually or in the aggregate, a Material Adverse Effect or (B) causes or is reasonably likely to cause the failure of any of the conditions set forth in </w:t>
      </w:r>
      <w:r>
        <w:rPr>
          <w:rFonts w:ascii="Times New Roman" w:hAnsi="Times New Roman"/>
          <w:sz w:val="20"/>
          <w:u w:val="single"/>
        </w:rPr>
        <w:t>ARTICLE VII</w:t>
      </w:r>
      <w:r>
        <w:rPr>
          <w:rFonts w:ascii="Times New Roman" w:hAnsi="Times New Roman"/>
          <w:sz w:val="20"/>
        </w:rPr>
        <w:t xml:space="preserve"> to be satisfied. In no event shall the delivery of any notice by a party hereto pursuant to this </w:t>
      </w:r>
      <w:r>
        <w:rPr>
          <w:rFonts w:ascii="Times New Roman" w:hAnsi="Times New Roman"/>
          <w:sz w:val="20"/>
          <w:u w:val="single"/>
        </w:rPr>
        <w:t>Section 6.05(b)</w:t>
      </w:r>
      <w:r>
        <w:rPr>
          <w:rFonts w:ascii="Times New Roman" w:hAnsi="Times New Roman"/>
          <w:sz w:val="20"/>
        </w:rPr>
        <w:t xml:space="preserve"> limit or otherwise affect the respective rights, remedies, obligations, representations, warranties, covenants or agreements of the parties hereto or the conditions to the obligations of the parties hereto under this Agreement; </w:t>
      </w:r>
      <w:r>
        <w:rPr>
          <w:rFonts w:ascii="Times New Roman" w:hAnsi="Times New Roman"/>
          <w:sz w:val="20"/>
          <w:u w:val="single"/>
        </w:rPr>
        <w:t>provided</w:t>
      </w:r>
      <w:r>
        <w:rPr>
          <w:rFonts w:ascii="Times New Roman" w:hAnsi="Times New Roman"/>
          <w:sz w:val="20"/>
        </w:rPr>
        <w:t xml:space="preserve"> that the failure to deliver any notice required by this </w:t>
      </w:r>
      <w:r>
        <w:rPr>
          <w:rFonts w:ascii="Times New Roman" w:hAnsi="Times New Roman"/>
          <w:sz w:val="20"/>
          <w:u w:val="single"/>
        </w:rPr>
        <w:t>Section 6.05(b)</w:t>
      </w:r>
      <w:r>
        <w:rPr>
          <w:rFonts w:ascii="Times New Roman" w:hAnsi="Times New Roman"/>
          <w:sz w:val="20"/>
        </w:rPr>
        <w:t xml:space="preserve"> shall not, in and of itself, constitute a failure of any condition set forth in </w:t>
      </w:r>
      <w:r>
        <w:rPr>
          <w:rFonts w:ascii="Times New Roman" w:hAnsi="Times New Roman"/>
          <w:sz w:val="20"/>
          <w:u w:val="single"/>
        </w:rPr>
        <w:t>ARTICLE VII</w:t>
      </w:r>
      <w:r>
        <w:rPr>
          <w:rFonts w:ascii="Times New Roman" w:hAnsi="Times New Roman"/>
          <w:sz w:val="20"/>
        </w:rPr>
        <w:t xml:space="preserve"> or give rise to any right of termination hereunder, except to the extent that the underlying matter required to be notified would independently result in such failure or give rise to such right. </w:t>
      </w:r>
    </w:p>
    <w:p>
      <w:pPr>
        <w:pStyle w:val="TextBody"/>
        <w:bidi w:val="0"/>
        <w:spacing w:before="120" w:after="0"/>
        <w:jc w:val="left"/>
        <w:rPr>
          <w:rFonts w:ascii="Times New Roman" w:hAnsi="Times New Roman"/>
          <w:sz w:val="20"/>
        </w:rPr>
      </w:pPr>
      <w:r>
        <w:rPr>
          <w:rFonts w:ascii="Times New Roman" w:hAnsi="Times New Roman"/>
          <w:sz w:val="20"/>
        </w:rPr>
        <w:t xml:space="preserve">(c) All information provided by the Company shall be held in confidence in accordance with the Confidentiality Agreement, which will remain in full force and effect in accordance with its terms until the Closing, notwithstanding any prior expiration or termination thereof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6.06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Effective Time, the Company shall purchase a “tail” or “runoff” directors’ and officers’ liability insurance policy in respect of acts or omissions occurring prior to the Effective Time covering each such person covered as of the date of this Agreement by the Company’s directors’ and officers’ liability insurance policy and each person who becomes covered by the Company’s directors’ and officers’ liability insurance policy prior to the Effective Time on terms with respect to coverage, deductibles and amounts no less favorable than those of such policy in effect on the date of this Agreement for the six year period following the Effective Time and at an aggregate price not to exceed 300% of the aggregate amount per annum the Company paid for such policy in its last full fiscal year prior to the date of this Agreement (the “</w:t>
      </w:r>
      <w:r>
        <w:rPr>
          <w:rFonts w:ascii="Times New Roman" w:hAnsi="Times New Roman"/>
          <w:sz w:val="20"/>
          <w:u w:val="single"/>
        </w:rPr>
        <w:t>Current Premium</w:t>
      </w:r>
      <w:r>
        <w:rPr>
          <w:rFonts w:ascii="Times New Roman" w:hAnsi="Times New Roman"/>
          <w:sz w:val="20"/>
        </w:rPr>
        <w:t xml:space="preserve">”). If the Company or Parent obtains prepaid “tail” or “runoff” policies prior to the Effective Time in accordance with this </w:t>
      </w:r>
      <w:r>
        <w:rPr>
          <w:rFonts w:ascii="Times New Roman" w:hAnsi="Times New Roman"/>
          <w:sz w:val="20"/>
          <w:u w:val="single"/>
        </w:rPr>
        <w:t>Section 6.06(a)</w:t>
      </w:r>
      <w:r>
        <w:rPr>
          <w:rFonts w:ascii="Times New Roman" w:hAnsi="Times New Roman"/>
          <w:sz w:val="20"/>
        </w:rPr>
        <w:t xml:space="preserve">, the Surviving Corporation shall, and Parent shall cause the Surviving Corporation to, maintain such policies in full force and effect for their full term, continue to perform and satisfy the obligations thereunder, and not cancel, amend or modify such policies in any manner adverse to any beneficiary thereof. If the Company fails to (or elects not to) purchase such “tail” or “runoff” policy prior to the Effective Time, then either (i) Parent may purchase such “tail” or “runoff” policy on behalf of the Company or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or (ii) the Surviving Corporation shall, and Parent shall cause the Surviving Corporation to, maintain a directors’ and officers’ liability insurance policy in respect of acts or omissions occurring prior to the Effective Time covering each such person currently covered by the Company’s directors’ and officers’ liability insurance policy on terms with respect to coverage, deductibles, retentions and amount no less favorable than those of such policy in effect as of the date of this Agreement for a period of six years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satisfying its obligation under this </w:t>
      </w:r>
      <w:r>
        <w:rPr>
          <w:rFonts w:ascii="Times New Roman" w:hAnsi="Times New Roman"/>
          <w:sz w:val="20"/>
          <w:u w:val="single"/>
        </w:rPr>
        <w:t>Section 6.06(a)</w:t>
      </w:r>
      <w:r>
        <w:rPr>
          <w:rFonts w:ascii="Times New Roman" w:hAnsi="Times New Roman"/>
          <w:sz w:val="20"/>
        </w:rPr>
        <w:t xml:space="preserve">, neither Parent nor the Surviving Corporation shall be obligated to pay annual premiums in an aggregate amount in excess of 300% of the Current Premium and if such premiums for such insurance would at any time exceed 300% of the Current Premium, then Parent or the Surviving Corporation shall cause to be maintained policies of insurance that, in Parent or the Surviving Corporation’s good faith judgment, provide the maximum coverage available at an annual aggregate premium equal to 300% of the Current Premium. </w:t>
      </w:r>
    </w:p>
    <w:p>
      <w:pPr>
        <w:pStyle w:val="TextBody"/>
        <w:bidi w:val="0"/>
        <w:spacing w:before="120" w:after="0"/>
        <w:jc w:val="left"/>
        <w:rPr>
          <w:rFonts w:ascii="Times New Roman" w:hAnsi="Times New Roman"/>
          <w:sz w:val="20"/>
        </w:rPr>
      </w:pPr>
      <w:r>
        <w:rPr>
          <w:rFonts w:ascii="Times New Roman" w:hAnsi="Times New Roman"/>
          <w:sz w:val="20"/>
        </w:rPr>
        <w:t>(b) For a period of six years from and after the Effective Time, Parent shall cause the Surviving Corporation and its Subsidiaries to, (i) perform and satisfy the obligations of the Company and its Subsidiaries, to the fullest extent permitted and enforceable under applicable Law, under (A) each indemnification agreement in effect between the Company or any of its Subsidiaries and any individual who at the Effective Time is, or at any time prior to the Effective Time was, a director or officer of the Company or of a Subsidiary of the Company (each, an “</w:t>
      </w:r>
      <w:r>
        <w:rPr>
          <w:rFonts w:ascii="Times New Roman" w:hAnsi="Times New Roman"/>
          <w:sz w:val="20"/>
          <w:u w:val="single"/>
        </w:rPr>
        <w:t>Indemnified Party</w:t>
      </w:r>
      <w:r>
        <w:rPr>
          <w:rFonts w:ascii="Times New Roman" w:hAnsi="Times New Roman"/>
          <w:sz w:val="20"/>
        </w:rPr>
        <w:t xml:space="preserve">”) made available to Parent prior to the date hereof, and (B) any indemnification, exculpation and advancement of expenses provisions set forth in the Company Charter, Company Bylaws and any organizational or governing documents of the Company’s Subsidiaries, in each case as applicable and as in effect as of the date of this Agreement; and (ii) the fullest extent permitted under applicable Law, indemnify, defend and hold harmless each Indemnified Party against all costs, expenses (including attorneys’ fees and expenses), judgments, fines, losses, claims, damages, liabilities and amounts paid in settlement incurred in connection with any actual or threatened claim, action, suit, proceeding or investigation, whether civil, criminal, administrative or investigative, arising out of, relating to or in connection with any action or omission occurring or alleged to have occurred at or prior to the Effective Time (including in connection with such person serving as a director or officer of the Company or any of its Subsidiaries) or arising out of or pertaining to the transactions contemplated by this Agreement. From the Effective Time through the sixth anniversary of the date on which the Effective Time occurs, the Company Charter, Company Bylaws and the organizational and governing documents of the Company’s Subsidiaries shall contain, and Parent shall cause such Company Charter, Company Bylaws and organizational and governing documents to so contain, provisions no less favorable with respect to indemnification, advancement of expenses, exculpation and limitations on liability of each Indemnified Party than are set forth in the Company Charter, the Company Bylaws and any organizational and governing documents of the Company’s Subsidiaries as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by Parent so that the successors and assigns of the Surviving Corporation or Parent shall assume the obligations set forth in this </w:t>
      </w:r>
      <w:r>
        <w:rPr>
          <w:rFonts w:ascii="Times New Roman" w:hAnsi="Times New Roman"/>
          <w:sz w:val="20"/>
          <w:u w:val="single"/>
        </w:rPr>
        <w:t>Section 6.06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6.06</w:t>
      </w:r>
      <w:r>
        <w:rPr>
          <w:rFonts w:ascii="Times New Roman" w:hAnsi="Times New Roman"/>
          <w:sz w:val="20"/>
        </w:rPr>
        <w:t xml:space="preserve"> are (i) intended to be for the benefit of, and shall be enforceable by, each Indemnified Party, his or her heirs and his or her Representatives and (ii) in addition to, and not in substitution for, any other rights to indemnification or contribution that any such individual may have under the certificate of incorporation or bylaws of the Company, by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6.07 </w:t>
      </w:r>
      <w:r>
        <w:rPr>
          <w:rFonts w:ascii="Times New Roman" w:hAnsi="Times New Roman"/>
          <w:sz w:val="20"/>
          <w:u w:val="single"/>
        </w:rPr>
        <w:t>Stockholder Litigation</w:t>
      </w:r>
      <w:r>
        <w:rPr>
          <w:rFonts w:ascii="Times New Roman" w:hAnsi="Times New Roman"/>
          <w:sz w:val="20"/>
        </w:rPr>
        <w:t>. The Company shall promptly notify Parent of, and shall give Parent the opportunity to participate in the defense, settlement and/or prosecution of, any Action (including derivative claims) brought by any stockholder of the Company against the Company, members of the Board and/or any Representatives of the Company, the Board or the Special Committee relating to this Agreement or any of the transactions contemplated by this Agreement (collectively, “</w:t>
      </w:r>
      <w:r>
        <w:rPr>
          <w:rFonts w:ascii="Times New Roman" w:hAnsi="Times New Roman"/>
          <w:sz w:val="20"/>
          <w:u w:val="single"/>
        </w:rPr>
        <w:t>Stockholder Litigation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shall keep Parent reasonably informed on a reasonably current basis of the status of any Stockholder Litigation, and (b) the Company shall not compromise, settle, come to an arrangement regarding or agree to compromise, settle or come to an arrangement regarding any Stockholder Litigation or consent to the same, without the prior approval of the Special Committee and the prior written consent of Parent, in each case not to be unreasonably withheld, conditioned or delayed (unless such settlement or compromise involves only (i) the payment of money damages and attorneys’ fees in an amount not in excess of the dollar amount of the coverage limits for such settlements under the current policies of directors’ and officers’ liability insurance maintained by the Company or (ii) providing additional disclosure in the Proxy Statement). For purposes of this </w:t>
      </w:r>
      <w:r>
        <w:rPr>
          <w:rFonts w:ascii="Times New Roman" w:hAnsi="Times New Roman"/>
          <w:sz w:val="20"/>
          <w:u w:val="single"/>
        </w:rPr>
        <w:t>Section 6.07</w:t>
      </w:r>
      <w:r>
        <w:rPr>
          <w:rFonts w:ascii="Times New Roman" w:hAnsi="Times New Roman"/>
          <w:sz w:val="20"/>
        </w:rPr>
        <w:t xml:space="preserve">, “participate” means that Parent will be kept apprised of proposed strategy and other significant decisions with respect to such Stockholder Litigation by the Company (to the extent that the attorney-client privilege between the Company and its counsel is not undermined), and Parent may offer comments or suggestions with respect to such Stockholder Litigation but will not be afforded any decision-making power or other authority over such Stockholder Litigation except for the settlement or compromise consent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6.08 </w:t>
      </w:r>
      <w:r>
        <w:rPr>
          <w:rFonts w:ascii="Times New Roman" w:hAnsi="Times New Roman"/>
          <w:sz w:val="20"/>
          <w:u w:val="single"/>
        </w:rPr>
        <w:t>Stock Exchange De-listing</w:t>
      </w:r>
      <w:r>
        <w:rPr>
          <w:rFonts w:ascii="Times New Roman" w:hAnsi="Times New Roman"/>
          <w:sz w:val="20"/>
        </w:rPr>
        <w:t xml:space="preserve">. Prior to the Effective Time, the Company shall cooperate with Parent and use reasonable best efforts to take, or cause to be taken, all actions, and do or cause to be done all things, necessary and advisable on its part under applicable Laws and rules and policies of Nasdaq to cause the delisting of the Company Common Stock from Nasdaq as promptly as practicable after the Effective Time and the deregistration of the Company Common Stock under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6.09 </w:t>
      </w:r>
      <w:r>
        <w:rPr>
          <w:rFonts w:ascii="Times New Roman" w:hAnsi="Times New Roman"/>
          <w:sz w:val="20"/>
          <w:u w:val="single"/>
        </w:rPr>
        <w:t>Preparation of the Proxy Statement and the Schedule 13E-3;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reasonably practicable after the execution of this Agreement (but in no event later than 30 Business Days following the date hereof) and subject to applicable Law, (i) the Company shall prepare the Proxy Statement in preliminary form and after consultation with, and incorporation of any reasonable comments made by, Parent, file it with the SEC and (ii) the Company, Parent, Intermediate and Merger Sub shall jointly prepare and file with the SEC a Rule 13e-3 Transaction Statement on Schedule 13E-3 (such transaction statement, including any amendment or supplement thereto made in accordance with the terms hereof, the “</w:t>
      </w:r>
      <w:r>
        <w:rPr>
          <w:rFonts w:ascii="Times New Roman" w:hAnsi="Times New Roman"/>
          <w:sz w:val="20"/>
          <w:u w:val="single"/>
        </w:rPr>
        <w:t>Schedule 13E-3</w:t>
      </w:r>
      <w:r>
        <w:rPr>
          <w:rFonts w:ascii="Times New Roman" w:hAnsi="Times New Roman"/>
          <w:sz w:val="20"/>
        </w:rPr>
        <w:t xml:space="preserve">”) relating to the transactions contemplated by this Agreement. Subject to </w:t>
      </w:r>
      <w:r>
        <w:rPr>
          <w:rFonts w:ascii="Times New Roman" w:hAnsi="Times New Roman"/>
          <w:sz w:val="20"/>
          <w:u w:val="single"/>
        </w:rPr>
        <w:t>Section 6.02</w:t>
      </w:r>
      <w:r>
        <w:rPr>
          <w:rFonts w:ascii="Times New Roman" w:hAnsi="Times New Roman"/>
          <w:sz w:val="20"/>
        </w:rPr>
        <w:t xml:space="preserve">, the Board shall make the Company Board Recommendation to the stockholders of the Company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 such recommendation and the Special Committee Recommendation in the Proxy Statement. Parent shall provide to the Company all information concerning Parent, Intermediate, Merger Sub and their respective Affiliates as may be reasonably requested by the Company and customary in connection with the Proxy Statement and the Schedule 13E-3 and shall otherwise reasonably assist and cooperate with the Company in the preparation of the Proxy Statement and the Schedule 13E-3 and the resolution of any comments thereto received from the SEC. The Company shall cause the Proxy Statement, and the Company, Parent, Intermediate and Merger Sub shall cause the Schedule 13E-3, at the time of the mailing of the Proxy Statement and at the time of the Company Stockholders’ Meeting, not to contain any untrue statement of a material fact or omit to state any material fact required to be stated therein or necessary in order to make the statements therein, in light of the circumstances under which they are made, not misleading and to comply as to form in all material respects with the Exchange Act and any applicable requirements under applicable Law, except that (A) no representation, warranty, covenant or agreement is made by the Company with respect to statements made or incorporated therein relating to Parent or its Affiliates, including Intermediate and Merger Sub, or based on information supplied by or on behalf of Parent, Intermediate, Merger Sub or any Representatives thereof for inclusion or incorporation by reference in the Proxy Statement or in the Schedule 13E-3 and that (B) no representation, warranty, covenant or agreement is made by Parent, Intermediate or Merger Sub with respect to statements made or incorporated therein relating to the Company or its Affiliates, or based on information supplied by or on behalf of the Company or any Representatives thereof for inclusion or incorporation by reference in the Proxy Statement or in the Schedule 13E-3. Each of the Company, Parent, Intermediate and Merger Sub shall correct any information provided by it for use in the Proxy Statement or the Schedule 13E-3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on the one hand, and Parent, on the other hand, (i) shall advise the other in writing promptly upon the receipt of any comments from the SEC and of any request by the SEC for amendments or supplements to the Proxy Statement or the Schedule 13E-3 and (ii) shall supply the other with copies of all written correspondence between the Company or Parent, as applicable, on the one hand, and the SEC, on the other hand, with respect to the Proxy Statement or the Schedule 13E-3, as the case may be (including all comments from the SEC with respect thereto). The Company shall use reasonable best efforts to respond as promptly as reasonably practicable to any comments received from the SEC concerning the Proxy Statement, and each of the Company, Parent, Intermediate and Merger Sub shall use reasonable best efforts to respond as promptly as reasonably practicable to any comments received from the SEC concerning the Schedule 13E-3, and, in each case, to resolve such comments with the SEC. The Company shall use reasonable best efforts to cause the definitive Proxy Statement to be filed with the SEC and to cause the definitive Proxy Statement and the Schedule 13E-3 to be disseminated to its stockholders as promptly as reasonably practicable after the earliest of (i) the resolution of any such comments, (ii) receiving notification that the SEC is not reviewing the preliminary Proxy Statement or (iii) the first Business Day that is 10 days after the filing of the preliminary Proxy Statement if the SEC has not informed the Company that it intends to review the Proxy Statement. Prior to the filing of the Proxy Statement or the Schedule 13E-3 (or any amendment or supplement thereto) or any dissemination thereof to the stockholders of the Company, or responding to any comments from the SEC with respect thereto, (i) in the case of the Proxy Statement, the Company shall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with a reasonable opportunity to review and to propose comments on such document or response, which the Company shall incorporate to the extent reasonable (it being understood that Parent shall have no obligation to conduct such review or propose such comments) and (ii) in the case of the Schedule 13E-3, each of Parent, the Company, Intermediate and Merger Sub shall provide the other party hereto with a reasonable opportunity to review and to propose comments on such document or response and shall consider the other party’s comments in good faith. The Company shall not file, disseminate or send the Proxy Statement or the Schedule 13E-3 (or any amendment or supplement thereto), or respond to any comments from the SEC with respect thereto, without the prior written consent of Parent (such consent not to be unreasonably withheld, delayed or conditioned). Notwithstanding the foregoing, Parent’s consent shall not be required with respect to any disclosure, filing, dissemination, response or supplement that the Special Committee determines in good faith, after consultation with its outside legal counsel, is required by applicable Law or fiduciary duties or relates to the Special Committee’s process, deliberations or recommendation, any actual or potential conflict of interest involving Parent, Intermediate, Merger Sub, any Affiliated Stockholder or any of their respective Affiliates or Representatives, any Takeover Proposal, any Intervening Event or any Adverse Recommendation Change; </w:t>
      </w:r>
      <w:r>
        <w:rPr>
          <w:rFonts w:ascii="Times New Roman" w:hAnsi="Times New Roman"/>
          <w:sz w:val="20"/>
          <w:u w:val="single"/>
        </w:rPr>
        <w:t>provided</w:t>
      </w:r>
      <w:r>
        <w:rPr>
          <w:rFonts w:ascii="Times New Roman" w:hAnsi="Times New Roman"/>
          <w:sz w:val="20"/>
        </w:rPr>
        <w:t xml:space="preserve"> that the Company shall provide Parent a reasonable opportunity to review and comment and the Company shall consider such comments in good faith. </w:t>
      </w:r>
    </w:p>
    <w:p>
      <w:pPr>
        <w:pStyle w:val="TextBody"/>
        <w:bidi w:val="0"/>
        <w:spacing w:before="120" w:after="0"/>
        <w:jc w:val="left"/>
        <w:rPr>
          <w:rFonts w:ascii="Times New Roman" w:hAnsi="Times New Roman"/>
          <w:sz w:val="20"/>
        </w:rPr>
      </w:pPr>
      <w:r>
        <w:rPr>
          <w:rFonts w:ascii="Times New Roman" w:hAnsi="Times New Roman"/>
          <w:sz w:val="20"/>
        </w:rPr>
        <w:t>(c) Notwithstanding any Adverse Recommendation Change, the Company shall take all necessary actions in accordance with applicable Law, the Company Charter Documents and the rules of Nasdaq to duly call, give notice of, convene and hold a meeting of its stockholders (including any adjournment, recess or postponement thereof, the “</w:t>
      </w:r>
      <w:r>
        <w:rPr>
          <w:rFonts w:ascii="Times New Roman" w:hAnsi="Times New Roman"/>
          <w:sz w:val="20"/>
          <w:u w:val="single"/>
        </w:rPr>
        <w:t>Company Stockholders’ Meeting</w:t>
      </w:r>
      <w:r>
        <w:rPr>
          <w:rFonts w:ascii="Times New Roman" w:hAnsi="Times New Roman"/>
          <w:sz w:val="20"/>
        </w:rPr>
        <w:t xml:space="preserve">”) for the purpose of obtaining the Company Requisite Stockholder Approvals, as soon as reasonably practicable following the dissemination of the Proxy Statement after the SEC confirms that it has no further comments on the Proxy Statement, but in no event later than 35 days after the dissemination of the Proxy Statement to the stockholders of the Company, and shall not postpone or adjourn such meeting, except to the extent advised by counsel to be necessary to comply with Law or pursuant to the following sentence. Except where the Board or the Special Committee has made an Adverse Recommendation Change in compliance with </w:t>
      </w:r>
      <w:r>
        <w:rPr>
          <w:rFonts w:ascii="Times New Roman" w:hAnsi="Times New Roman"/>
          <w:sz w:val="20"/>
          <w:u w:val="single"/>
        </w:rPr>
        <w:t>Section 6.02</w:t>
      </w:r>
      <w:r>
        <w:rPr>
          <w:rFonts w:ascii="Times New Roman" w:hAnsi="Times New Roman"/>
          <w:sz w:val="20"/>
        </w:rPr>
        <w:t xml:space="preserve"> and such Adverse Recommendation Change has not been withdrawn or rescinded, the Company shall use reasonable best efforts to obtain the Company Requisite Stockholder Approvals. The Company shall keep Parent reasonably informed with respect to proxy solicitation results as reasonably requested by Parent. Unless this Agreement is terminated in accordance with its terms, the Company shall not submit to the vote of the stockholders of the Company any Takeover Proposal. Notwithstanding anything to the contrary in this Agreement, (i) the Company (acting on the recommendation of the Special Committee) may (and if requested by Parent on no more than two occasions, shall) adjourn, recess, or postpone the Company Stockholders’ Meeting for a reasonable period to solicit additional proxies, if the Company or Parent, as applicable, reasonably believes there will be insufficient shares of Company Common Stock represented (either in person or by proxy) to constitute a quorum necessary either to conduct the business of the Company Stockholders’ Meeting or to obtain either of the Company Requisite Stockholder Approvals (it being understood that the Company may not postpone or adjourn the Company Stockholders’ Meeting more than two months in the aggregate pursuant to this </w:t>
      </w:r>
      <w:r>
        <w:rPr>
          <w:rFonts w:ascii="Times New Roman" w:hAnsi="Times New Roman"/>
          <w:sz w:val="20"/>
          <w:u w:val="single"/>
        </w:rPr>
        <w:t>clause (i)</w:t>
      </w:r>
      <w:r>
        <w:rPr>
          <w:rFonts w:ascii="Times New Roman" w:hAnsi="Times New Roman"/>
          <w:sz w:val="20"/>
        </w:rPr>
        <w:t xml:space="preserve"> without Parent’s prior written consent) and (ii) the Company (acting on the recommendation of the Special Committee) may adjourn, recess, or postpone the Company Stockholders’ Meeting to the extent necessary to ensure that any supplement or amendment to the Proxy Statement that is required by applicable Law is provided to the stockholders of the Company within a reasonable amount of time in advance of the Company Stockholders’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unless agreed in writing by the Company and Parent, any single such adjournment, recess or postponement shall be for a period of no more than 10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Closing Date, the Company shall use commercially reasonable efforts to provide, and to cause its Subsidiaries and their respective Representatives to use commercially reasonable efforts to provide, to Parent, Intermediate, Merger Sub and any Debt Financing Sources customary and reasonable cooperation as reasonably requested by Parent and any Debt Financing Sources, in connection with Parent, Intermediate and Merger Sub obtaining debt financing for the purposes of consummating the transactions contemplated hereby, including using commercially reasonable efforts to maintain in effect the Credit Agreement Financing or to commence and consummate an offering of debt securities pursuant to Rule 144A or other exemption under the Securities Act (collectively, the “</w:t>
      </w:r>
      <w:r>
        <w:rPr>
          <w:rFonts w:ascii="Times New Roman" w:hAnsi="Times New Roman"/>
          <w:sz w:val="20"/>
          <w:u w:val="single"/>
        </w:rPr>
        <w:t>Debt Financing</w:t>
      </w:r>
      <w:r>
        <w:rPr>
          <w:rFonts w:ascii="Times New Roman" w:hAnsi="Times New Roman"/>
          <w:sz w:val="20"/>
        </w:rPr>
        <w:t xml:space="preserve">”) including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Parent and the Debt Financing Sources as promptly as reasonably practicable the Required Information regarding the Company and its Subsidiaries as may be reasonably requested by Parent in writing; </w:t>
      </w:r>
      <w:r>
        <w:rPr>
          <w:rFonts w:ascii="Times New Roman" w:hAnsi="Times New Roman"/>
          <w:sz w:val="20"/>
          <w:u w:val="single"/>
        </w:rPr>
        <w:t>provided</w:t>
      </w:r>
      <w:r>
        <w:rPr>
          <w:rFonts w:ascii="Times New Roman" w:hAnsi="Times New Roman"/>
          <w:sz w:val="20"/>
        </w:rPr>
        <w:t xml:space="preserve">, that Parent may provide such Required Information to the Debt Financing Sources subject to customary confidentiality arrangements and subject to the limitations set forth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reasonably cooperate with the due diligence of any Debt Financing Source to the extent customary in connection with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(iii) assist in preparation for and participate in marketing efforts for the Debt Financing, and assist Parent in obtaining ratings in connection with the Debt Financing; </w:t>
      </w:r>
      <w:r>
        <w:rPr>
          <w:rFonts w:ascii="Times New Roman" w:hAnsi="Times New Roman"/>
          <w:sz w:val="20"/>
          <w:u w:val="single"/>
        </w:rPr>
        <w:t>provided</w:t>
      </w:r>
      <w:r>
        <w:rPr>
          <w:rFonts w:ascii="Times New Roman" w:hAnsi="Times New Roman"/>
          <w:sz w:val="20"/>
        </w:rPr>
        <w:t xml:space="preserve">, that the Company shall only be required to participate in a reasonable number of in-person or virtual meetings or calls at reasonable times and with appropriate senior officers or other Representatives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reasonably required for use in connection with the Debt Financing, assist Parent, Intermediate, Merger Sub and the Debt Financing Sources with the preparation of (A) materials for rating agency presentations and (B) private placement memoranda, Rule 144A offering memoranda, bank information memoranda, lender presentations, investor presentations, rating agency presentations and similar documents reasonably required for use in connection with the Debt Financing, in each case, with respect to any Required Information included therein and, for the avoidance of doubt, not with respect to any Excluded Information; </w:t>
      </w:r>
    </w:p>
    <w:p>
      <w:pPr>
        <w:pStyle w:val="TextBody"/>
        <w:bidi w:val="0"/>
        <w:spacing w:before="120" w:after="0"/>
        <w:jc w:val="left"/>
        <w:rPr>
          <w:rFonts w:ascii="Times New Roman" w:hAnsi="Times New Roman"/>
          <w:sz w:val="20"/>
        </w:rPr>
      </w:pPr>
      <w:r>
        <w:rPr>
          <w:rFonts w:ascii="Times New Roman" w:hAnsi="Times New Roman"/>
          <w:sz w:val="20"/>
        </w:rPr>
        <w:t xml:space="preserve">(v) assist in the preparation of definitive financing agreements, guarantees, pledges and security documents, indentures, supplemental indentures and other customary agreements and certificates, including schedules, annexes and exhibits thereto, and execute and deliver such agreements and certificates on the Closing Date, including customary certificates of the Chief Financial Officer (or other executive officer) of the Company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solvency matters and facilitate the pledging of collateral and the granting of security interests in the assets of the Company and its Subsidiaries in connection with the Debt Financing (including the delivery of all stock certificates and related powers or other possessory collateral intended to constitute collateral) (it being understood that such documents will not take effect prior to the Effective Time);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6.10(c)</w:t>
      </w:r>
      <w:r>
        <w:rPr>
          <w:rFonts w:ascii="Times New Roman" w:hAnsi="Times New Roman"/>
          <w:sz w:val="20"/>
        </w:rPr>
        <w:t xml:space="preserve">, the Company shall not be required to execute or deliver any financing agreement, certificate or other document (except as provided in clause (viii) below), or facilitate the grant or perfection of any collateral, except to the extent such action is conditioned upon the occurrence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provide customary authorization letters to the Debt Financing Sources authorizing the distribution of information to prospective lenders or investors furnished by the Company for inclusion in marketing materials for the Debt Financing, subject to customary confidentiality provisions and subject to the Company’s prior review and approval of the applicable materials, subject to customary confidentiality provisions, and containing a customary representation to the Debt Financing Sources, including that the public side versions of such marketing materials, bank information memoranda or similar documents approved by the Company for distribution to public-side lenders or investors do not include material non-public information about the Company or its Subsidiaries or their securities; </w:t>
      </w:r>
    </w:p>
    <w:p>
      <w:pPr>
        <w:pStyle w:val="TextBody"/>
        <w:bidi w:val="0"/>
        <w:spacing w:before="120" w:after="0"/>
        <w:jc w:val="left"/>
        <w:rPr>
          <w:rFonts w:ascii="Times New Roman" w:hAnsi="Times New Roman"/>
          <w:sz w:val="20"/>
        </w:rPr>
      </w:pPr>
      <w:r>
        <w:rPr>
          <w:rFonts w:ascii="Times New Roman" w:hAnsi="Times New Roman"/>
          <w:sz w:val="20"/>
        </w:rPr>
        <w:t xml:space="preserve">(vii) provide Debt Financing Sources at least three (3) Business Days prior to the Closing with all documentation and other information about the Company and its Subsidiaries as is reasonably requested by Parent or the Debt Financing Sources in writing at least ten (10) Business Days prior to Closing in connection with the Debt Financing to the extent required under applicable “know your customer” and anti-money laundering rules and regulations including the USA PATRIOT Act and a beneficial ownership certificate for any entity that qualifies as a “legal entity customer” under the Beneficial Ownership Regulation (31 C.F.R. § 1010.230); and </w:t>
      </w:r>
    </w:p>
    <w:p>
      <w:pPr>
        <w:pStyle w:val="TextBody"/>
        <w:bidi w:val="0"/>
        <w:spacing w:before="120" w:after="0"/>
        <w:jc w:val="left"/>
        <w:rPr>
          <w:rFonts w:ascii="Times New Roman" w:hAnsi="Times New Roman"/>
          <w:sz w:val="20"/>
        </w:rPr>
      </w:pPr>
      <w:r>
        <w:rPr>
          <w:rFonts w:ascii="Times New Roman" w:hAnsi="Times New Roman"/>
          <w:sz w:val="20"/>
        </w:rPr>
        <w:t xml:space="preserve">(viii) (A) request that the Company’s auditor (and any other auditor to the extent financial statements audited or reviewed by such auditor are or would be included or incorporated by reference in an offering memorandum for an offering of high-yield debt securities issued pursuant to Rule 144A), at Parent’s sole cost and expense, to (1) furnish to Parent and the Debt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in writing by Parent or the Debt Financing Sources, as necessary or customary for financings similar to the Debt Financing and provide the Company’s auditors with such information, certifications and other documents as may be reasonably requested by the Company’s auditors to allow them to deliver such comfort letters and (2) attend a reasonable number of virtual accounting due diligence session and drafting sessions and (B) deliver to any Debt Financing Sources and their counsel upon “pricing” and “closing” of any high-yield bonds being issued as part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customary certificate of the Chief Financial Officer comforting or backing-up any financial data or other information included or incorporated by reference in any offering memoranda or other offering document that is not comforted by the Company’s independent auditors, which certificate shall be made by the Chief Financial Officer in his or her official capacity and not in his or her individual capacity and such Chief Financial Officer shall not be personally liability for any certifications made in such certificate.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consents to the use of its and its Subsidiaries’ logos in connection with the Debt 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logos are used solely in a manner that is not intended to, nor reasonably likely to, harm or disparage the Company or the Company’s Subsidiaries and such use is subject to the Company’s reasonable review and comment in advance thereof.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herein, nothing in </w:t>
      </w:r>
      <w:r>
        <w:rPr>
          <w:rFonts w:ascii="Times New Roman" w:hAnsi="Times New Roman"/>
          <w:sz w:val="20"/>
          <w:u w:val="single"/>
        </w:rPr>
        <w:t xml:space="preserve">Section 6.10(a) </w:t>
      </w:r>
      <w:r>
        <w:rPr>
          <w:rFonts w:ascii="Times New Roman" w:hAnsi="Times New Roman"/>
          <w:sz w:val="20"/>
        </w:rPr>
        <w:t xml:space="preserve">shall require any such cooperation or assistance to the extent that it would require the Company or any of its Subsidiaries to: </w:t>
      </w:r>
    </w:p>
    <w:p>
      <w:pPr>
        <w:pStyle w:val="TextBody"/>
        <w:bidi w:val="0"/>
        <w:spacing w:before="120" w:after="0"/>
        <w:jc w:val="left"/>
        <w:rPr>
          <w:rFonts w:ascii="Times New Roman" w:hAnsi="Times New Roman"/>
          <w:sz w:val="20"/>
        </w:rPr>
      </w:pPr>
      <w:r>
        <w:rPr>
          <w:rFonts w:ascii="Times New Roman" w:hAnsi="Times New Roman"/>
          <w:sz w:val="20"/>
        </w:rPr>
        <w:t>(i) pledge any assets as collateral prior to the Effective Time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w:t>
      </w:r>
      <w:r>
        <w:rPr>
          <w:rFonts w:ascii="Times New Roman" w:hAnsi="Times New Roman"/>
          <w:sz w:val="20"/>
        </w:rPr>
        <w:t xml:space="preserve"> shall in no way affect pledges of assets with respect to the Credit Agreement in effect immediately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 other than with respect to fees, indemnities, expenses, amortization payments or other obligations paid pursuant to the terms of the Credit Agreement (including those paid with respect to the Credit Agreement Amendment or the Credit Agreement Financing), pay any fee, bear any cost or expense, incur any other liability or give any indemnities to any Third Party or otherwise commit to take any similar action in connection with the Debt Financing prior to the Closing (provided that this </w:t>
      </w:r>
      <w:r>
        <w:rPr>
          <w:rFonts w:ascii="Times New Roman" w:hAnsi="Times New Roman"/>
          <w:sz w:val="20"/>
          <w:u w:val="single"/>
        </w:rPr>
        <w:t>clause (ii)</w:t>
      </w:r>
      <w:r>
        <w:rPr>
          <w:rFonts w:ascii="Times New Roman" w:hAnsi="Times New Roman"/>
          <w:sz w:val="20"/>
        </w:rPr>
        <w:t xml:space="preserve"> shall in no way affect payments required pursuant to </w:t>
      </w:r>
      <w:r>
        <w:rPr>
          <w:rFonts w:ascii="Times New Roman" w:hAnsi="Times New Roman"/>
          <w:sz w:val="20"/>
          <w:u w:val="single"/>
        </w:rPr>
        <w:t>Section 6.10(e)</w:t>
      </w:r>
      <w:r>
        <w:rPr>
          <w:rFonts w:ascii="Times New Roman" w:hAnsi="Times New Roman"/>
          <w:sz w:val="20"/>
        </w:rPr>
        <w:t xml:space="preserve"> or the indemnity and expense reimbursement provisions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take any actions in connection with the consummation of the Debt Financing to the extent such actions would, (A) result in any director, manager, officer, employee or Representative of the Company incurring personal liability, (B) conflict with, or result in any violation or breach of, or default (with or without notice, or lapse of time or both) under, the organizational or governing documents of the Company or any of its Subsidiaries, any applicable Law or Governmental Order (in the case of any organizational document, not entered in contemplation of this limitation) or (C) unreasonably interfere with the business or operations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waive or amend any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other than with respect to the execution and delivery of borrowing requests, certificates (including solvency certificates to the extent expressly required by Section 4.03 of the Credit Agreement) and other notices or documents required by the Credit Agreement to be delivered as conditions precedent with respect to the funding by the Credit Agreement Lenders of the Credit Agreement Financing as contemplated by the Credit Agreement Amendment, the execution and delivery of any customary certificate of the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Officer (or other comparable officer) of the Company referenced in </w:t>
      </w:r>
      <w:r>
        <w:rPr>
          <w:rFonts w:ascii="Times New Roman" w:hAnsi="Times New Roman"/>
          <w:sz w:val="20"/>
          <w:u w:val="single"/>
        </w:rPr>
        <w:t>Section 6.10(a)(viii)</w:t>
      </w:r>
      <w:r>
        <w:rPr>
          <w:rFonts w:ascii="Times New Roman" w:hAnsi="Times New Roman"/>
          <w:sz w:val="20"/>
        </w:rPr>
        <w:t xml:space="preserve"> in connection with the “pricing” and “closing” of any high-yield bonds contemplated by the Debt Financing, the authorization letters referenced in </w:t>
      </w:r>
      <w:r>
        <w:rPr>
          <w:rFonts w:ascii="Times New Roman" w:hAnsi="Times New Roman"/>
          <w:sz w:val="20"/>
          <w:u w:val="single"/>
        </w:rPr>
        <w:t>Section 6.10(a)(v)</w:t>
      </w:r>
      <w:r>
        <w:rPr>
          <w:rFonts w:ascii="Times New Roman" w:hAnsi="Times New Roman"/>
          <w:sz w:val="20"/>
        </w:rPr>
        <w:t xml:space="preserve"> and any letter or certificate required to be delivered by the Company in connection with the matters contemplated by </w:t>
      </w:r>
      <w:r>
        <w:rPr>
          <w:rFonts w:ascii="Times New Roman" w:hAnsi="Times New Roman"/>
          <w:sz w:val="20"/>
          <w:u w:val="single"/>
        </w:rPr>
        <w:t>Section 6.10(a)(viii)</w:t>
      </w:r>
      <w:r>
        <w:rPr>
          <w:rFonts w:ascii="Times New Roman" w:hAnsi="Times New Roman"/>
          <w:sz w:val="20"/>
        </w:rPr>
        <w:t xml:space="preserve">, cause any director, manager or equivalent, or any officer or employee of the Company or any of its Subsidiaries to (A) pass resolutions to approve the Debt Financing or authorize the creation of any agreements, documents or actions in connection therewith or (B) execute or deliver any certificate in connection with the Debt Financing, in each case, that are not contingent on the Closing or would be effective prior to the Closing; </w:t>
      </w:r>
      <w:r>
        <w:rPr>
          <w:rFonts w:ascii="Times New Roman" w:hAnsi="Times New Roman"/>
          <w:sz w:val="20"/>
          <w:u w:val="single"/>
        </w:rPr>
        <w:t>provided</w:t>
      </w:r>
      <w:r>
        <w:rPr>
          <w:rFonts w:ascii="Times New Roman" w:hAnsi="Times New Roman"/>
          <w:sz w:val="20"/>
        </w:rPr>
        <w:t xml:space="preserve">, that no director, officer, employee or Representative of the Company or any of its Subsidiaries shall be required to deliver any solvency certificate (other than to the extent expressly required by Section 4.03 of the Credit Agreement), CFO comfort certificate or other certificate with respect to solvency, pro forma financial information, projections, post-Closing capitalization, financing sufficiency or the availability or funding of the Debt Financing, other than customary factual certificates expressly required by the Credit Agreement and effective no earlier than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(vi) require the Company or any of its Subsidiaries to provide any information, document or material relating to the evaluation, negotiation or deliberations of the Special Committee, the Board or any committee thereof with respect to this Agreement, the Merger or any alternative transaction, or any information, document or material that the Company reasonably determines would jeopardize attorney-client privilege, attorney work product protection or any other legal privilege, violate applicable Law or breach any confidentiality obligation to a Third Party; or </w:t>
      </w:r>
    </w:p>
    <w:p>
      <w:pPr>
        <w:pStyle w:val="TextBody"/>
        <w:bidi w:val="0"/>
        <w:spacing w:before="120" w:after="0"/>
        <w:jc w:val="left"/>
        <w:rPr>
          <w:rFonts w:ascii="Times New Roman" w:hAnsi="Times New Roman"/>
          <w:sz w:val="20"/>
        </w:rPr>
      </w:pPr>
      <w:r>
        <w:rPr>
          <w:rFonts w:ascii="Times New Roman" w:hAnsi="Times New Roman"/>
          <w:sz w:val="20"/>
        </w:rPr>
        <w:t xml:space="preserve">(vii) require the Company or any of its Subsidiaries to make any borrowing under, or enter into any amendment, consent or waiver with respect to, the Credit Agreement primarily for the purpose of financing the transactions contemplated by this Agreement, in each case to the extent they are not contingent on the Closing or would be effective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and shall cause its Subsidiaries to, use commercially reasonable efforts to periodically update any Required Information provided to Parent as may be necessary so that such Required Information is Compliant. The Company agrees to use commercially reasonable efforts to file with the SEC in a timely manner all reports on Form 10-K, Form 10-Q, Form 8-K and all other reports that are required to be filed with the SEC pursuant to the Exchange Act and the rules and regulations thereunder prior to the Closing Date in accordance with the periods required by the Exchange Act. If, in connection with a marketing effort in connection with the Debt Financing, Parent reasonably requests the Company to file a Current Report on Form 8-K pursuant to the Exchange Act that contains material non-public information with respect to the Company and its Subsidiaries that is customarily disclosed in Debt Financing of such type, which Parent reasonably determines is necessary (after consultation with the Company and if the Company does not unreasonably object) to include in any materials or documents with respect to the Debt Financing, then, upon Parent providing the Company a reasonable opportunity to review and comment on such filing and Parent’s consideration of the Company’s comments on such filing in good faith, the Company shall file a Current Report on Form 8-K containing such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Parent shall promptly, upon request by the Company, reimburse the Company for all reasonable and documented out-of-pocket fees, costs and expenses (including reasonable attorneys’ fees) incurred by the Company or any of its Subsidiaries and their respective Representatives in connection with (i) the negotiation and execution of the Credit Agreement Amendment, (ii) the Credit Agreement Amendment and the funding of the Credit Agreement Financing and (iii) any cooperation requested by Parent pursuant to this </w:t>
      </w:r>
      <w:r>
        <w:rPr>
          <w:rFonts w:ascii="Times New Roman" w:hAnsi="Times New Roman"/>
          <w:sz w:val="20"/>
          <w:u w:val="single"/>
        </w:rPr>
        <w:t>Section 6.10</w:t>
      </w:r>
      <w:r>
        <w:rPr>
          <w:rFonts w:ascii="Times New Roman" w:hAnsi="Times New Roman"/>
          <w:sz w:val="20"/>
        </w:rPr>
        <w:t xml:space="preserve">, in each case, promptly after receipt of a written request therefor from the Company (and this sentence shall survive termination of this Agreement). Parent shall indemnify and hold harmless the Company, its Subsidiaries and their respective Representatives from and against any and all losses, damages, claims, costs or expenses suffered or incurred by any of them in connection with the arrangement of the Financing (including the negotiation and execution of the Credit Agreement Amendment and any fees required to be paid in connection with the funding of the Credit Agreement Financing), the performance of their respective obligations under this </w:t>
      </w:r>
      <w:r>
        <w:rPr>
          <w:rFonts w:ascii="Times New Roman" w:hAnsi="Times New Roman"/>
          <w:sz w:val="20"/>
          <w:u w:val="single"/>
        </w:rPr>
        <w:t xml:space="preserve">Section 6.10 </w:t>
      </w:r>
      <w:r>
        <w:rPr>
          <w:rFonts w:ascii="Times New Roman" w:hAnsi="Times New Roman"/>
          <w:sz w:val="20"/>
        </w:rPr>
        <w:t xml:space="preserve">and any information used in connection therewith, except to the extent such liabilities arise from the fraud, bad faith or willful misconduct of the Company, any of its Subsidiaries or any of its or their respective Representatives as determined by a final, non-appealable judgment of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Subject to </w:t>
      </w:r>
      <w:r>
        <w:rPr>
          <w:rFonts w:ascii="Times New Roman" w:hAnsi="Times New Roman"/>
          <w:sz w:val="20"/>
          <w:u w:val="single"/>
        </w:rPr>
        <w:t>Section 8.03</w:t>
      </w:r>
      <w:r>
        <w:rPr>
          <w:rFonts w:ascii="Times New Roman" w:hAnsi="Times New Roman"/>
          <w:sz w:val="20"/>
        </w:rPr>
        <w:t xml:space="preserve"> and the limitations on specific enforcement set forth in </w:t>
      </w:r>
      <w:r>
        <w:rPr>
          <w:rFonts w:ascii="Times New Roman" w:hAnsi="Times New Roman"/>
          <w:sz w:val="20"/>
          <w:u w:val="single"/>
        </w:rPr>
        <w:t>Section 9.07</w:t>
      </w:r>
      <w:r>
        <w:rPr>
          <w:rFonts w:ascii="Times New Roman" w:hAnsi="Times New Roman"/>
          <w:sz w:val="20"/>
        </w:rPr>
        <w:t xml:space="preserve">, Parent acknowledges and agrees that (i) the obligations of Parent and Intermediate to consummate the transactions contemplated by this Agreement are not in any way contingent upon or otherwise subject to Parent’s or Intermediate’s consummation of any financing arrangement, Parent, Intermediate or any of their Affiliates obtaining any financing (including the Financing) or the availability, grant, provision or extension of any financing to Parent, Intermediate or any of their Affiliates (including the Financing) and (ii) the availability, sufficiency or funding of the Credit Agreement Financing or any other Debt Financing shall not be a condition to the obligations of Parent, Intermediate or Merger Sub to consummate the transactions contemplated by this Agreement. For the avoidance of doubt, (x) no failure of the Credit Agreement Financing or any other Debt Financing to be available, sufficient or funded shall constitute a breach by the Company of this Agreement or relieve Parent, Intermediate or Merger Sub of any obligation to pay the Reverse Termination Fee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except to the extent Parent’s failure to consummate the transactions contemplated by this Agreement is excused as a result of the failure of a condition set forth in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in each case based on facts or circumstances that independently constitute such condition failure and not based on the availability, sufficiency or funding of the Financing; and (y) no breach or inaccuracy of </w:t>
      </w:r>
      <w:r>
        <w:rPr>
          <w:rFonts w:ascii="Times New Roman" w:hAnsi="Times New Roman"/>
          <w:sz w:val="20"/>
          <w:u w:val="single"/>
        </w:rPr>
        <w:t>Section 4.19</w:t>
      </w:r>
      <w:r>
        <w:rPr>
          <w:rFonts w:ascii="Times New Roman" w:hAnsi="Times New Roman"/>
          <w:sz w:val="20"/>
        </w:rPr>
        <w:t xml:space="preserve"> shall relieve Parent, Intermediate or Merger Sub of their respective obligations to consummate the transactions contemplated by this Agreement, except to the extent the underlying facts or circumstances giving rise to such breach or inaccuracy independently constitute a failure of a condition set forth in </w:t>
      </w:r>
      <w:r>
        <w:rPr>
          <w:rFonts w:ascii="Times New Roman" w:hAnsi="Times New Roman"/>
          <w:sz w:val="20"/>
          <w:u w:val="single"/>
        </w:rPr>
        <w:t>Section 7.02</w:t>
      </w:r>
      <w:r>
        <w:rPr>
          <w:rFonts w:ascii="Times New Roman" w:hAnsi="Times New Roman"/>
          <w:sz w:val="20"/>
        </w:rPr>
        <w:t xml:space="preserve">, without regard to whether the Credit Agreement Financing or any other Debt Financing is available, sufficient or funded. </w:t>
      </w:r>
    </w:p>
    <w:p>
      <w:pPr>
        <w:pStyle w:val="TextBody"/>
        <w:bidi w:val="0"/>
        <w:spacing w:before="120" w:after="0"/>
        <w:jc w:val="left"/>
        <w:rPr>
          <w:rFonts w:ascii="Times New Roman" w:hAnsi="Times New Roman"/>
          <w:sz w:val="20"/>
        </w:rPr>
      </w:pPr>
      <w:r>
        <w:rPr>
          <w:rFonts w:ascii="Times New Roman" w:hAnsi="Times New Roman"/>
          <w:sz w:val="20"/>
        </w:rPr>
        <w:t xml:space="preserve">(g) Parent, Intermediate and Merger Sub shall keep the Company and the Special Committee reasonably informed, on a reasonably current basis, of the status of Parent’s efforts to obtain and consummate the Financing and any material developments with respect thereto, including any actual or threatened breach, default, termination, repudiation or withdrawal by any party to the Equity Commitment Letter or any definitive agreement with respect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Each of Parent, Intermediate and Merger Sub shall, and shall cause its Affiliates to, take, or cause to be taken, all actions and to do, or cause to be done, all things necessary, proper or advisable to obtain and consummate the Equity Financing on a timely basis on the terms and subject only to the conditions set forth in the Equity Commitment Letter, including: (i) until the funding of the Equity Financing, maintain in effect the Equity Commitment Letter; (ii) satisfy on a timely basis all conditions precedent to the funding of the Equity Financing set forth in the Equity Commitment Letter; (iii) consummate the Equity Financing at or prior to the Closing Date, including by causing the Persons committing to fund the Equity Financing to fund the Equity Financing at the Closing following satisfaction of the conditions precedent to the initial funding thereof; and (iv) comply in all material respects with its covenants and other obligations under the Equity Commitment Letter and the definitive agreements relating to the Equity Financing. Parent, Intermediate and Merger Sub shall not, without the prior written consent of the Company, terminate, amend, modify, replace supplement or waive any provision under, the Equity Commitment Letter or the definitive agreements relating to the 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(i) For the avoidance of doubt, nothing in this </w:t>
      </w:r>
      <w:r>
        <w:rPr>
          <w:rFonts w:ascii="Times New Roman" w:hAnsi="Times New Roman"/>
          <w:sz w:val="20"/>
          <w:u w:val="single"/>
        </w:rPr>
        <w:t>Section 6.10</w:t>
      </w:r>
      <w:r>
        <w:rPr>
          <w:rFonts w:ascii="Times New Roman" w:hAnsi="Times New Roman"/>
          <w:sz w:val="20"/>
        </w:rPr>
        <w:t xml:space="preserve"> shall require the Company or any of its Subsidiaries to refrain from taking any action expressly permitted by this Agreement, including </w:t>
      </w:r>
      <w:r>
        <w:rPr>
          <w:rFonts w:ascii="Times New Roman" w:hAnsi="Times New Roman"/>
          <w:sz w:val="20"/>
          <w:u w:val="single"/>
        </w:rPr>
        <w:t>Section 6.01</w:t>
      </w:r>
      <w:r>
        <w:rPr>
          <w:rFonts w:ascii="Times New Roman" w:hAnsi="Times New Roman"/>
          <w:sz w:val="20"/>
        </w:rPr>
        <w:t xml:space="preserve">, or from using, borrowing under, repaying amounts under, issuing letters of credit under or otherwise operating under the Credit Agreement in the ordinary course of business or in any manner not prohibited by this Agreement. No such action or omission shall constitute a breach of this </w:t>
      </w:r>
      <w:r>
        <w:rPr>
          <w:rFonts w:ascii="Times New Roman" w:hAnsi="Times New Roman"/>
          <w:sz w:val="20"/>
          <w:u w:val="single"/>
        </w:rPr>
        <w:t>Section 6.10</w:t>
      </w:r>
      <w:r>
        <w:rPr>
          <w:rFonts w:ascii="Times New Roman" w:hAnsi="Times New Roman"/>
          <w:sz w:val="20"/>
        </w:rPr>
        <w:t xml:space="preserve"> or </w:t>
      </w:r>
      <w:r>
        <w:rPr>
          <w:rFonts w:ascii="Times New Roman" w:hAnsi="Times New Roman"/>
          <w:sz w:val="20"/>
          <w:u w:val="single"/>
        </w:rPr>
        <w:t>Section 4.19</w:t>
      </w:r>
      <w:r>
        <w:rPr>
          <w:rFonts w:ascii="Times New Roman" w:hAnsi="Times New Roman"/>
          <w:sz w:val="20"/>
        </w:rPr>
        <w:t xml:space="preserve">, give rise to a failure of any condition set forth in </w:t>
      </w:r>
      <w:r>
        <w:rPr>
          <w:rFonts w:ascii="Times New Roman" w:hAnsi="Times New Roman"/>
          <w:sz w:val="20"/>
          <w:u w:val="single"/>
        </w:rPr>
        <w:t>Section 7.02</w:t>
      </w:r>
      <w:r>
        <w:rPr>
          <w:rFonts w:ascii="Times New Roman" w:hAnsi="Times New Roman"/>
          <w:sz w:val="20"/>
        </w:rPr>
        <w:t xml:space="preserve"> or give rise to any termination right under </w:t>
      </w:r>
      <w:r>
        <w:rPr>
          <w:rFonts w:ascii="Times New Roman" w:hAnsi="Times New Roman"/>
          <w:sz w:val="20"/>
          <w:u w:val="single"/>
        </w:rPr>
        <w:t>Section 8.01(c)(i)</w:t>
      </w:r>
      <w:r>
        <w:rPr>
          <w:rFonts w:ascii="Times New Roman" w:hAnsi="Times New Roman"/>
          <w:sz w:val="20"/>
        </w:rPr>
        <w:t xml:space="preserve">, in each case solely because such action or omission reduces or eliminates availability under the Credit Agreement or results in the Credit Agreement Financing or any other Debt Financing not being available, sufficient or funded; </w:t>
      </w:r>
      <w:r>
        <w:rPr>
          <w:rFonts w:ascii="Times New Roman" w:hAnsi="Times New Roman"/>
          <w:sz w:val="20"/>
          <w:u w:val="single"/>
        </w:rPr>
        <w:t>provided</w:t>
      </w:r>
      <w:r>
        <w:rPr>
          <w:rFonts w:ascii="Times New Roman" w:hAnsi="Times New Roman"/>
          <w:sz w:val="20"/>
        </w:rPr>
        <w:t xml:space="preserve">, that the Company shall not intentionally take any action under the Credit Agreement for the primary purpose of preventing the availability or funding of the Credit Agreement Financing.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the limitations on cooperation, assistance or other conduct required by the Company in relation to the Credit Agreement Financing for purposes of this Agreement as set forth in this </w:t>
      </w:r>
      <w:r>
        <w:rPr>
          <w:rFonts w:ascii="Times New Roman" w:hAnsi="Times New Roman"/>
          <w:sz w:val="20"/>
          <w:u w:val="single"/>
        </w:rPr>
        <w:t>Section 6.10</w:t>
      </w:r>
      <w:r>
        <w:rPr>
          <w:rFonts w:ascii="Times New Roman" w:hAnsi="Times New Roman"/>
          <w:sz w:val="20"/>
        </w:rPr>
        <w:t xml:space="preserve">, the Company acknowledges that it and its Subsidiaries separately have payment, performance and other obligations to its secured creditors under the Credit Agreement and related loan documents which extend beyond those identified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Section 16 Matters</w:t>
      </w:r>
      <w:r>
        <w:rPr>
          <w:rFonts w:ascii="Times New Roman" w:hAnsi="Times New Roman"/>
          <w:sz w:val="20"/>
        </w:rPr>
        <w:t xml:space="preserve">. The Company shall take all reasonable actions and steps as may be required to ensure that any dispositions of Company equity securities (including derivative securities) in connection with this Agreement by each individual who is a director or officer of the Company subject to Section 16 of the Exchange Act are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Obligations of Intermediate and Merger Sub</w:t>
      </w:r>
      <w:r>
        <w:rPr>
          <w:rFonts w:ascii="Times New Roman" w:hAnsi="Times New Roman"/>
          <w:sz w:val="20"/>
        </w:rPr>
        <w:t xml:space="preserve">. Parent will take all action necessary to cause Intermediate, Merger Sub and the Surviving Corporation to perform their respective obligations pursuant to this Agreement and to consummate the Merger upon the terms and subject to the conditions set forth in this Agreement. Parent, Intermediate and Merger Sub will be jointly and severally liable for the failure by either of them to perform and discharge any of their respective covenants, agreements and obligations pursuant to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7.01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hereto to effect the Merger shall be subject to the satisfaction (or written waiver of Parent and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Restraints</w:t>
      </w:r>
      <w:r>
        <w:rPr>
          <w:rFonts w:ascii="Times New Roman" w:hAnsi="Times New Roman"/>
          <w:sz w:val="20"/>
        </w:rPr>
        <w:t>. No temporary restraining order, preliminary or permanent injunction or Governmental Order issued by any court of competent jurisdiction or Law (collectively, “</w:t>
      </w:r>
      <w:r>
        <w:rPr>
          <w:rFonts w:ascii="Times New Roman" w:hAnsi="Times New Roman"/>
          <w:sz w:val="20"/>
          <w:u w:val="single"/>
        </w:rPr>
        <w:t>Restraints</w:t>
      </w:r>
      <w:r>
        <w:rPr>
          <w:rFonts w:ascii="Times New Roman" w:hAnsi="Times New Roman"/>
          <w:sz w:val="20"/>
        </w:rPr>
        <w:t xml:space="preserve">”) shall be in effect restraining, enjoining, making illegal or otherwise preventing or prohibiting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HSR</w:t>
      </w:r>
      <w:r>
        <w:rPr>
          <w:rFonts w:ascii="Times New Roman" w:hAnsi="Times New Roman"/>
          <w:sz w:val="20"/>
        </w:rPr>
        <w:t xml:space="preserve">. The waiting period (and any extension thereof) applicable to the consummation of the Merger under the HSR Act shall have expired or been terminated;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Requisite Stockholder Approvals</w:t>
      </w:r>
      <w:r>
        <w:rPr>
          <w:rFonts w:ascii="Times New Roman" w:hAnsi="Times New Roman"/>
          <w:sz w:val="20"/>
        </w:rPr>
        <w:t xml:space="preserve">. The Company Requisite Stockholder Approvals shall have been obtained at the Company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7.02 </w:t>
      </w:r>
      <w:r>
        <w:rPr>
          <w:rFonts w:ascii="Times New Roman" w:hAnsi="Times New Roman"/>
          <w:sz w:val="20"/>
          <w:u w:val="single"/>
        </w:rPr>
        <w:t>Conditions to the Obligations of Parent, Intermediate and Merger Sub</w:t>
      </w:r>
      <w:r>
        <w:rPr>
          <w:rFonts w:ascii="Times New Roman" w:hAnsi="Times New Roman"/>
          <w:sz w:val="20"/>
        </w:rPr>
        <w:t xml:space="preserve">. The obligations of Parent, Intermediate and Merger Sub to effect the Merger shall be subject to the satisfaction (or written waiver by Parent,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and </w:t>
      </w:r>
      <w:r>
        <w:rPr>
          <w:rFonts w:ascii="Times New Roman" w:hAnsi="Times New Roman"/>
          <w:sz w:val="20"/>
          <w:u w:val="single"/>
        </w:rPr>
        <w:t>Section 4.24</w:t>
      </w:r>
      <w:r>
        <w:rPr>
          <w:rFonts w:ascii="Times New Roman" w:hAnsi="Times New Roman"/>
          <w:sz w:val="20"/>
        </w:rPr>
        <w:t xml:space="preserve"> (</w:t>
      </w:r>
      <w:r>
        <w:rPr>
          <w:rFonts w:ascii="Times New Roman" w:hAnsi="Times New Roman"/>
          <w:i/>
          <w:sz w:val="20"/>
        </w:rPr>
        <w:t>Brokers and Other Advisors</w:t>
      </w:r>
      <w:r>
        <w:rPr>
          <w:rFonts w:ascii="Times New Roman" w:hAnsi="Times New Roman"/>
          <w:sz w:val="20"/>
        </w:rPr>
        <w:t xml:space="preserve">) shall be true and correct in all material respects as of the date of this Agreement and as of the Closing Date as though made on and as of such date (except to the extent expressly made as of a specific date, in which case as of such specific date), (ii) the representations and warranties of the Company set forth in </w:t>
      </w:r>
      <w:r>
        <w:rPr>
          <w:rFonts w:ascii="Times New Roman" w:hAnsi="Times New Roman"/>
          <w:sz w:val="20"/>
          <w:u w:val="single"/>
        </w:rPr>
        <w:t>Section 4.02(a)-(b)</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shall be true and correct in all respects except for </w:t>
      </w:r>
      <w:r>
        <w:rPr>
          <w:rFonts w:ascii="Times New Roman" w:hAnsi="Times New Roman"/>
          <w:i/>
          <w:sz w:val="20"/>
        </w:rPr>
        <w:t xml:space="preserve">de minimis </w:t>
      </w:r>
      <w:r>
        <w:rPr>
          <w:rFonts w:ascii="Times New Roman" w:hAnsi="Times New Roman"/>
          <w:sz w:val="20"/>
        </w:rPr>
        <w:t xml:space="preserve">inaccuracies as of the date of this Agreement and as of the Closing Date as though made on and as of such date (except to the extent expressly made as of a specific date, in which case as of such specific date), and (iii) the representations and warranties of the Company contained in this Agreement other than those referred to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(without giving effect to any materiality limitations, such as “material”, “in all material respects” and “Material Adverse Effect”, set forth therein) shall be true and correct as of the date of this Agreement and as of the Closing Date as though made on and as of such date (except to the extent expressly made as of a specific date, in which case as of such specific date), except where, in the case of this </w:t>
      </w:r>
      <w:r>
        <w:rPr>
          <w:rFonts w:ascii="Times New Roman" w:hAnsi="Times New Roman"/>
          <w:sz w:val="20"/>
          <w:u w:val="single"/>
        </w:rPr>
        <w:t>clause (iii)</w:t>
      </w:r>
      <w:r>
        <w:rPr>
          <w:rFonts w:ascii="Times New Roman" w:hAnsi="Times New Roman"/>
          <w:sz w:val="20"/>
        </w:rPr>
        <w:t xml:space="preserve">, the failure of such representations and warranties to be so true and correct has not had and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The Company shall have performed or complied with in all material respects its obligations required to be performed or complied with by it under this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no Material Adverse Effect shall have occurred;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Company shall have delivered to Parent a certificate, dated as of the Closing Date and signed by its Chief Financial Officer or another executive officer, certifying that the conditions set forth in </w:t>
      </w:r>
      <w:r>
        <w:rPr>
          <w:rFonts w:ascii="Times New Roman" w:hAnsi="Times New Roman"/>
          <w:sz w:val="20"/>
          <w:u w:val="single"/>
        </w:rPr>
        <w:t>Sections 7.02(a)</w:t>
      </w:r>
      <w:r>
        <w:rPr>
          <w:rFonts w:ascii="Times New Roman" w:hAnsi="Times New Roman"/>
          <w:sz w:val="20"/>
        </w:rPr>
        <w:t xml:space="preserve">, </w:t>
      </w:r>
      <w:r>
        <w:rPr>
          <w:rFonts w:ascii="Times New Roman" w:hAnsi="Times New Roman"/>
          <w:sz w:val="20"/>
          <w:u w:val="single"/>
        </w:rPr>
        <w:t>7.02(b)</w:t>
      </w:r>
      <w:r>
        <w:rPr>
          <w:rFonts w:ascii="Times New Roman" w:hAnsi="Times New Roman"/>
          <w:sz w:val="20"/>
        </w:rPr>
        <w:t xml:space="preserve"> and </w:t>
      </w:r>
      <w:r>
        <w:rPr>
          <w:rFonts w:ascii="Times New Roman" w:hAnsi="Times New Roman"/>
          <w:sz w:val="20"/>
          <w:u w:val="single"/>
        </w:rPr>
        <w:t>7.02(c)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7.03 </w:t>
      </w:r>
      <w:r>
        <w:rPr>
          <w:rFonts w:ascii="Times New Roman" w:hAnsi="Times New Roman"/>
          <w:sz w:val="20"/>
          <w:u w:val="single"/>
        </w:rPr>
        <w:t>Conditions to the Obligations of the Company</w:t>
      </w:r>
      <w:r>
        <w:rPr>
          <w:rFonts w:ascii="Times New Roman" w:hAnsi="Times New Roman"/>
          <w:sz w:val="20"/>
        </w:rPr>
        <w:t xml:space="preserve">. The obligations of the Company to effect the Merger shall be subject to the satisfaction (or written waiver by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Parent, Intermediate and Merger Sub set forth in this Agreement (without giving effect to any materiality limitations, such as “material”, “in all material respects” and “Parent Material Adverse Effect”, set forth therein) shall be true and correct as of the date of this Agreement and as of the Closing Date as though made on and as of such date (except to the extent expressly made as of a specific date, in which case as of such specific date), except where the failure of such representations and warranties to be so true and correct has not had and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Parent, Intermediate and Merger Sub shall have performed or complied with in all material respects their obligations required to be performed or complied with by them under this Agreement at or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Parent shall have delivered to the Company a certificate, dated as of the Closing Date and signed by its Chief Financial Officer or another executive officer, certifying that the conditions set forth in </w:t>
      </w:r>
      <w:r>
        <w:rPr>
          <w:rFonts w:ascii="Times New Roman" w:hAnsi="Times New Roman"/>
          <w:sz w:val="20"/>
          <w:u w:val="single"/>
        </w:rPr>
        <w:t>Sections 7.03(a)</w:t>
      </w:r>
      <w:r>
        <w:rPr>
          <w:rFonts w:ascii="Times New Roman" w:hAnsi="Times New Roman"/>
          <w:sz w:val="20"/>
        </w:rPr>
        <w:t xml:space="preserve"> and </w:t>
      </w:r>
      <w:r>
        <w:rPr>
          <w:rFonts w:ascii="Times New Roman" w:hAnsi="Times New Roman"/>
          <w:sz w:val="20"/>
          <w:u w:val="single"/>
        </w:rPr>
        <w:t>7.03(b)</w:t>
      </w:r>
      <w:r>
        <w:rPr>
          <w:rFonts w:ascii="Times New Roman" w:hAnsi="Times New Roman"/>
          <w:sz w:val="20"/>
        </w:rPr>
        <w:t xml:space="preserve">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TERMINATION; EXTENSION; WAIVER </w:t>
      </w:r>
    </w:p>
    <w:p>
      <w:pPr>
        <w:pStyle w:val="TextBody"/>
        <w:bidi w:val="0"/>
        <w:spacing w:before="240" w:after="0"/>
        <w:jc w:val="left"/>
        <w:rPr>
          <w:rFonts w:ascii="Times New Roman" w:hAnsi="Times New Roman"/>
          <w:sz w:val="20"/>
        </w:rPr>
      </w:pPr>
      <w:r>
        <w:rPr>
          <w:rFonts w:ascii="Times New Roman" w:hAnsi="Times New Roman"/>
          <w:sz w:val="20"/>
        </w:rPr>
        <w:t xml:space="preserve">8.01 </w:t>
      </w:r>
      <w:r>
        <w:rPr>
          <w:rFonts w:ascii="Times New Roman" w:hAnsi="Times New Roman"/>
          <w:sz w:val="20"/>
          <w:u w:val="single"/>
        </w:rPr>
        <w:t>Termination</w:t>
      </w:r>
      <w:r>
        <w:rPr>
          <w:rFonts w:ascii="Times New Roman" w:hAnsi="Times New Roman"/>
          <w:sz w:val="20"/>
        </w:rPr>
        <w:t xml:space="preserve">. This Agreement may be terminated at any time prior to the Effective Time, notwithstanding the Company Requisite Stockholder Approvals having been obtained: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Company and Parent; </w:t>
      </w:r>
    </w:p>
    <w:p>
      <w:pPr>
        <w:pStyle w:val="TextBody"/>
        <w:bidi w:val="0"/>
        <w:spacing w:before="120" w:after="0"/>
        <w:jc w:val="left"/>
        <w:rPr>
          <w:rFonts w:ascii="Times New Roman" w:hAnsi="Times New Roman"/>
          <w:sz w:val="20"/>
        </w:rPr>
      </w:pPr>
      <w:r>
        <w:rPr>
          <w:rFonts w:ascii="Times New Roman" w:hAnsi="Times New Roman"/>
          <w:sz w:val="20"/>
        </w:rPr>
        <w:t xml:space="preserve">(b) by either of the Company or Parent: </w:t>
      </w:r>
    </w:p>
    <w:p>
      <w:pPr>
        <w:pStyle w:val="TextBody"/>
        <w:bidi w:val="0"/>
        <w:spacing w:before="120" w:after="0"/>
        <w:jc w:val="left"/>
        <w:rPr>
          <w:rFonts w:ascii="Times New Roman" w:hAnsi="Times New Roman"/>
          <w:sz w:val="20"/>
        </w:rPr>
      </w:pPr>
      <w:r>
        <w:rPr>
          <w:rFonts w:ascii="Times New Roman" w:hAnsi="Times New Roman"/>
          <w:sz w:val="20"/>
        </w:rPr>
        <w:t>(i) if the Effective Time shall not have occurred on or prior to December 31,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8.01(b)(i)</w:t>
      </w:r>
      <w:r>
        <w:rPr>
          <w:rFonts w:ascii="Times New Roman" w:hAnsi="Times New Roman"/>
          <w:sz w:val="20"/>
        </w:rPr>
        <w:t xml:space="preserve"> shall not be available to any party hereto if such party’s material breach of this Agreement has been the principal cause of the failure of the Effective Time to occur on or before the Outside Date (it being understood that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Intermediate and Merger Sub shall be deemed a single party for purposes of the foregoing proviso);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the Company prior to such date shall have commenced an Action seeking an injunction, specific performance or other equitable remedies in connection with enforcing Parent’s obligation to cause the Equity Financing to be funded to fund the Merger Consideration and Parent’s, Intermediate’s and Merger Sub’s obligations to effect the Closing pursuant to </w:t>
      </w:r>
      <w:r>
        <w:rPr>
          <w:rFonts w:ascii="Times New Roman" w:hAnsi="Times New Roman"/>
          <w:sz w:val="20"/>
          <w:u w:val="single"/>
        </w:rPr>
        <w:t>Section 9.07</w:t>
      </w:r>
      <w:r>
        <w:rPr>
          <w:rFonts w:ascii="Times New Roman" w:hAnsi="Times New Roman"/>
          <w:sz w:val="20"/>
        </w:rPr>
        <w:t xml:space="preserve">, the Outside Date shall automatically be extended to (A) the 20th Business Day following the resolution of such Action or (B) such other time period established by the court presiding over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8.01(b)(i)</w:t>
      </w:r>
      <w:r>
        <w:rPr>
          <w:rFonts w:ascii="Times New Roman" w:hAnsi="Times New Roman"/>
          <w:sz w:val="20"/>
        </w:rPr>
        <w:t xml:space="preserve"> in the event that on the Outside Date the Company has the right to terminate this Agreement pursuant to </w:t>
      </w:r>
      <w:r>
        <w:rPr>
          <w:rFonts w:ascii="Times New Roman" w:hAnsi="Times New Roman"/>
          <w:sz w:val="20"/>
          <w:u w:val="single"/>
        </w:rPr>
        <w:t>Section 8.01(d)(iii);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any Restraint having the effect set forth in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i/>
          <w:sz w:val="20"/>
        </w:rPr>
        <w:t>Legal Restraints</w:t>
      </w:r>
      <w:r>
        <w:rPr>
          <w:rFonts w:ascii="Times New Roman" w:hAnsi="Times New Roman"/>
          <w:sz w:val="20"/>
        </w:rPr>
        <w:t xml:space="preserve">) shall be in effect and shall have become final and nonappealable; or </w:t>
      </w:r>
    </w:p>
    <w:p>
      <w:pPr>
        <w:pStyle w:val="TextBody"/>
        <w:bidi w:val="0"/>
        <w:spacing w:before="120" w:after="0"/>
        <w:jc w:val="left"/>
        <w:rPr>
          <w:rFonts w:ascii="Times New Roman" w:hAnsi="Times New Roman"/>
          <w:sz w:val="20"/>
        </w:rPr>
      </w:pPr>
      <w:r>
        <w:rPr>
          <w:rFonts w:ascii="Times New Roman" w:hAnsi="Times New Roman"/>
          <w:sz w:val="20"/>
        </w:rPr>
        <w:t xml:space="preserve">(iii) if the Company Requisite Stockholder Approvals shall not have been obtained at the Company Stockholders’ Meeting or at any adjournment or postponement thereof effected, in each case, at which a vote thereon is taken; </w:t>
      </w:r>
    </w:p>
    <w:p>
      <w:pPr>
        <w:pStyle w:val="TextBody"/>
        <w:bidi w:val="0"/>
        <w:spacing w:before="120" w:after="0"/>
        <w:jc w:val="left"/>
        <w:rPr>
          <w:rFonts w:ascii="Times New Roman" w:hAnsi="Times New Roman"/>
          <w:sz w:val="20"/>
        </w:rPr>
      </w:pPr>
      <w:r>
        <w:rPr>
          <w:rFonts w:ascii="Times New Roman" w:hAnsi="Times New Roman"/>
          <w:sz w:val="20"/>
        </w:rPr>
        <w:t xml:space="preserve">(c) by Parent: </w:t>
      </w:r>
    </w:p>
    <w:p>
      <w:pPr>
        <w:pStyle w:val="TextBody"/>
        <w:bidi w:val="0"/>
        <w:spacing w:before="120" w:after="0"/>
        <w:jc w:val="left"/>
        <w:rPr>
          <w:rFonts w:ascii="Times New Roman" w:hAnsi="Times New Roman"/>
          <w:sz w:val="20"/>
        </w:rPr>
      </w:pPr>
      <w:r>
        <w:rPr>
          <w:rFonts w:ascii="Times New Roman" w:hAnsi="Times New Roman"/>
          <w:sz w:val="20"/>
        </w:rPr>
        <w:t xml:space="preserve">(i) if the Company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 xml:space="preserve">Section 7.02(b) </w:t>
      </w:r>
      <w:r>
        <w:rPr>
          <w:rFonts w:ascii="Times New Roman" w:hAnsi="Times New Roman"/>
          <w:sz w:val="20"/>
        </w:rPr>
        <w:t>(</w:t>
      </w:r>
      <w:r>
        <w:rPr>
          <w:rFonts w:ascii="Times New Roman" w:hAnsi="Times New Roman"/>
          <w:i/>
          <w:sz w:val="20"/>
        </w:rPr>
        <w:t>Company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the Company of written notice from Parent identifying such breach or failure to perform or comply and stating Parent’s intention to terminate this Agreement pursuant to this </w:t>
      </w:r>
      <w:r>
        <w:rPr>
          <w:rFonts w:ascii="Times New Roman" w:hAnsi="Times New Roman"/>
          <w:sz w:val="20"/>
          <w:u w:val="single"/>
        </w:rPr>
        <w:t>Section 8.01(c)(i)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 xml:space="preserve">Section 8.01(c)(i) (1) </w:t>
      </w:r>
      <w:r>
        <w:rPr>
          <w:rFonts w:ascii="Times New Roman" w:hAnsi="Times New Roman"/>
          <w:sz w:val="20"/>
        </w:rPr>
        <w:t xml:space="preserve">if Parent, Intermediate or Merger Sub is then in breach of any of its representations, warranties, covenants or agreements hereunder and such breach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or (2) based on the unavailability, insufficiency or failure to fund of the Credit Agreement Financing or any other Debt Financing, including any reduction or elimination of availability under the Credit Agreement resulting from any action or omission by the Company or any of its Subsidiaries that is expressly permitted by this Agreement or that is not prohibited by this Agreement, except, in the case of this </w:t>
      </w:r>
      <w:r>
        <w:rPr>
          <w:rFonts w:ascii="Times New Roman" w:hAnsi="Times New Roman"/>
          <w:sz w:val="20"/>
          <w:u w:val="single"/>
        </w:rPr>
        <w:t>clause (2)</w:t>
      </w:r>
      <w:r>
        <w:rPr>
          <w:rFonts w:ascii="Times New Roman" w:hAnsi="Times New Roman"/>
          <w:sz w:val="20"/>
        </w:rPr>
        <w:t xml:space="preserve">,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at any time prior to obtaining the Company Requisite Stockholder Approvals (including any adjournments or postponement thereof) an Adverse Recommendation Change shall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if any of Parent, Intermediate or Merger Sub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Parent of written notice from the Company identifying such breach or failure to perform or comply and stating the Company’s intention to terminate this Agreement pursuant to this </w:t>
      </w:r>
      <w:r>
        <w:rPr>
          <w:rFonts w:ascii="Times New Roman" w:hAnsi="Times New Roman"/>
          <w:sz w:val="20"/>
          <w:u w:val="single"/>
        </w:rPr>
        <w:t>Section 8.01(d)(i)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8.01(d)(i)</w:t>
      </w:r>
      <w:r>
        <w:rPr>
          <w:rFonts w:ascii="Times New Roman" w:hAnsi="Times New Roman"/>
          <w:sz w:val="20"/>
        </w:rPr>
        <w:t xml:space="preserve"> if the Company is then in breach of any of its representations, warranties, covenants or agreements hereunder and such breach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Section 7.02(b)</w:t>
      </w:r>
      <w:r>
        <w:rPr>
          <w:rFonts w:ascii="Times New Roman" w:hAnsi="Times New Roman"/>
          <w:sz w:val="20"/>
        </w:rPr>
        <w:t xml:space="preserve"> (</w:t>
      </w:r>
      <w:r>
        <w:rPr>
          <w:rFonts w:ascii="Times New Roman" w:hAnsi="Times New Roman"/>
          <w:i/>
          <w:sz w:val="20"/>
        </w:rPr>
        <w:t>Company Compliance with Covenants</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prior to obtaining the Company Requisite Stockholder Approvals, in connection with entering into an Acquisition Agreement providing for a Superior Proposal in accordance with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terminate this Agreement pursuant to this </w:t>
      </w:r>
      <w:r>
        <w:rPr>
          <w:rFonts w:ascii="Times New Roman" w:hAnsi="Times New Roman"/>
          <w:sz w:val="20"/>
          <w:u w:val="single"/>
        </w:rPr>
        <w:t>Section 8.01(d)(ii)</w:t>
      </w:r>
      <w:r>
        <w:rPr>
          <w:rFonts w:ascii="Times New Roman" w:hAnsi="Times New Roman"/>
          <w:sz w:val="20"/>
        </w:rPr>
        <w:t xml:space="preserve"> unless the Company (A) has complied in all material respects with its obligations under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(B) pays, or causes to be paid, to Parent the Termination Fee payable pursuant to </w:t>
      </w:r>
      <w:r>
        <w:rPr>
          <w:rFonts w:ascii="Times New Roman" w:hAnsi="Times New Roman"/>
          <w:sz w:val="20"/>
          <w:u w:val="single"/>
        </w:rPr>
        <w:t>Section 8.03(b)</w:t>
      </w:r>
      <w:r>
        <w:rPr>
          <w:rFonts w:ascii="Times New Roman" w:hAnsi="Times New Roman"/>
          <w:sz w:val="20"/>
        </w:rPr>
        <w:t xml:space="preserve"> prior to or concurrently with such termination and (C) immediately following or concurrently with such termination, enters into a definitive Acquisition Agreement with respect to such Superior Proposal; or </w:t>
      </w:r>
    </w:p>
    <w:p>
      <w:pPr>
        <w:pStyle w:val="TextBody"/>
        <w:bidi w:val="0"/>
        <w:spacing w:before="120" w:after="0"/>
        <w:jc w:val="left"/>
        <w:rPr>
          <w:rFonts w:ascii="Times New Roman" w:hAnsi="Times New Roman"/>
          <w:sz w:val="20"/>
        </w:rPr>
      </w:pPr>
      <w:r>
        <w:rPr>
          <w:rFonts w:ascii="Times New Roman" w:hAnsi="Times New Roman"/>
          <w:sz w:val="20"/>
        </w:rPr>
        <w:t xml:space="preserve">(iii) if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in writing (to the extent such waiver is permitted by applicable Law)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(B) the Company has confirmed in writing to Parent that (1) all conditions set forth in </w:t>
      </w:r>
      <w:r>
        <w:rPr>
          <w:rFonts w:ascii="Times New Roman" w:hAnsi="Times New Roman"/>
          <w:sz w:val="20"/>
          <w:u w:val="single"/>
        </w:rPr>
        <w:t>Section 7.03</w:t>
      </w:r>
      <w:r>
        <w:rPr>
          <w:rFonts w:ascii="Times New Roman" w:hAnsi="Times New Roman"/>
          <w:sz w:val="20"/>
        </w:rPr>
        <w:t xml:space="preserve"> (</w:t>
      </w:r>
      <w:r>
        <w:rPr>
          <w:rFonts w:ascii="Times New Roman" w:hAnsi="Times New Roman"/>
          <w:i/>
          <w:sz w:val="20"/>
        </w:rPr>
        <w:t>Conditions of the Company to Closing</w:t>
      </w:r>
      <w:r>
        <w:rPr>
          <w:rFonts w:ascii="Times New Roman" w:hAnsi="Times New Roman"/>
          <w:sz w:val="20"/>
        </w:rPr>
        <w:t xml:space="preserve">) have been satisfied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or that, to the extent permitted by Law, it is willing to irrevocably waive any unsatisfied conditions in </w:t>
      </w:r>
      <w:r>
        <w:rPr>
          <w:rFonts w:ascii="Times New Roman" w:hAnsi="Times New Roman"/>
          <w:sz w:val="20"/>
          <w:u w:val="single"/>
        </w:rPr>
        <w:t xml:space="preserve">Section 7.03 </w:t>
      </w:r>
      <w:r>
        <w:rPr>
          <w:rFonts w:ascii="Times New Roman" w:hAnsi="Times New Roman"/>
          <w:sz w:val="20"/>
        </w:rPr>
        <w:t>(</w:t>
      </w:r>
      <w:r>
        <w:rPr>
          <w:rFonts w:ascii="Times New Roman" w:hAnsi="Times New Roman"/>
          <w:i/>
          <w:sz w:val="20"/>
        </w:rPr>
        <w:t>Conditions of the Company to Closing</w:t>
      </w:r>
      <w:r>
        <w:rPr>
          <w:rFonts w:ascii="Times New Roman" w:hAnsi="Times New Roman"/>
          <w:sz w:val="20"/>
        </w:rPr>
        <w:t xml:space="preserve">), (2) the Merger is required to be consummated pursuant to </w:t>
      </w:r>
      <w:r>
        <w:rPr>
          <w:rFonts w:ascii="Times New Roman" w:hAnsi="Times New Roman"/>
          <w:sz w:val="20"/>
          <w:u w:val="single"/>
        </w:rPr>
        <w:t>Section 2.02</w:t>
      </w:r>
      <w:r>
        <w:rPr>
          <w:rFonts w:ascii="Times New Roman" w:hAnsi="Times New Roman"/>
          <w:sz w:val="20"/>
        </w:rPr>
        <w:t xml:space="preserve">, and (3) the Company is ready, willing and able to consummate the Merger, and (C) the Merger shall not have been consummated within three Business Days after the later of (x) delivery of such notice referred to in </w:t>
      </w:r>
      <w:r>
        <w:rPr>
          <w:rFonts w:ascii="Times New Roman" w:hAnsi="Times New Roman"/>
          <w:sz w:val="20"/>
          <w:u w:val="single"/>
        </w:rPr>
        <w:t>clause (B)</w:t>
      </w:r>
      <w:r>
        <w:rPr>
          <w:rFonts w:ascii="Times New Roman" w:hAnsi="Times New Roman"/>
          <w:sz w:val="20"/>
        </w:rPr>
        <w:t xml:space="preserve"> to Parent and (y) the date the Merger was required to be consummated pursuant to </w:t>
      </w:r>
      <w:r>
        <w:rPr>
          <w:rFonts w:ascii="Times New Roman" w:hAnsi="Times New Roman"/>
          <w:sz w:val="20"/>
          <w:u w:val="single"/>
        </w:rPr>
        <w:t>Section 2.02</w:t>
      </w:r>
      <w:r>
        <w:rPr>
          <w:rFonts w:ascii="Times New Roman" w:hAnsi="Times New Roman"/>
          <w:sz w:val="20"/>
        </w:rPr>
        <w:t xml:space="preserve">. For purposes of this </w:t>
      </w:r>
      <w:r>
        <w:rPr>
          <w:rFonts w:ascii="Times New Roman" w:hAnsi="Times New Roman"/>
          <w:sz w:val="20"/>
          <w:u w:val="single"/>
        </w:rPr>
        <w:t>Section 8.01(d)(iii)</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unavailability, insufficiency or failure to fund the Credit Agreement Financing or any other Debt Financing shall not, in and of itself, be deemed to result in the failure of any condition set forth in </w:t>
      </w:r>
      <w:r>
        <w:rPr>
          <w:rFonts w:ascii="Times New Roman" w:hAnsi="Times New Roman"/>
          <w:sz w:val="20"/>
          <w:u w:val="single"/>
        </w:rPr>
        <w:t>Section 7.02</w:t>
      </w:r>
      <w:r>
        <w:rPr>
          <w:rFonts w:ascii="Times New Roman" w:hAnsi="Times New Roman"/>
          <w:sz w:val="20"/>
        </w:rPr>
        <w:t xml:space="preserve"> or render inaccurate or ineffective the Company’s confirmation pursuant to </w:t>
      </w:r>
      <w:r>
        <w:rPr>
          <w:rFonts w:ascii="Times New Roman" w:hAnsi="Times New Roman"/>
          <w:sz w:val="20"/>
          <w:u w:val="single"/>
        </w:rPr>
        <w:t>clause (B)(3)</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or otherwise relieve Parent, Intermediate or Merger Sub of their obligations to consummate the Merger or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including where such unavailability, insufficiency or failure to fund results from any action or omission by the Company or any of its Subsidiaries that is expressly permitted by this Agreement or that is not prohibited by this Agreement, except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termination pursuant to this </w:t>
      </w:r>
      <w:r>
        <w:rPr>
          <w:rFonts w:ascii="Times New Roman" w:hAnsi="Times New Roman"/>
          <w:sz w:val="20"/>
          <w:u w:val="single"/>
        </w:rPr>
        <w:t>Section 8.01</w:t>
      </w:r>
      <w:r>
        <w:rPr>
          <w:rFonts w:ascii="Times New Roman" w:hAnsi="Times New Roman"/>
          <w:sz w:val="20"/>
        </w:rPr>
        <w:t xml:space="preserve"> (other than pursuant to </w:t>
      </w:r>
      <w:r>
        <w:rPr>
          <w:rFonts w:ascii="Times New Roman" w:hAnsi="Times New Roman"/>
          <w:sz w:val="20"/>
          <w:u w:val="single"/>
        </w:rPr>
        <w:t>Section 8.01(a)</w:t>
      </w:r>
      <w:r>
        <w:rPr>
          <w:rFonts w:ascii="Times New Roman" w:hAnsi="Times New Roman"/>
          <w:sz w:val="20"/>
        </w:rPr>
        <w:t xml:space="preserve">) to be effective, the party hereto desiring to exercise any of its rights under this </w:t>
      </w:r>
      <w:r>
        <w:rPr>
          <w:rFonts w:ascii="Times New Roman" w:hAnsi="Times New Roman"/>
          <w:sz w:val="20"/>
          <w:u w:val="single"/>
        </w:rPr>
        <w:t>Section 8.01</w:t>
      </w:r>
      <w:r>
        <w:rPr>
          <w:rFonts w:ascii="Times New Roman" w:hAnsi="Times New Roman"/>
          <w:sz w:val="20"/>
        </w:rPr>
        <w:t xml:space="preserve"> and so terminate this Agreement must deliver written notice of such termination to each other party hereto, such notice to set forth the applicable Section hereof pursuant to which such termination is effected. </w:t>
      </w:r>
    </w:p>
    <w:p>
      <w:pPr>
        <w:pStyle w:val="TextBody"/>
        <w:bidi w:val="0"/>
        <w:spacing w:before="240" w:after="0"/>
        <w:jc w:val="left"/>
        <w:rPr>
          <w:rFonts w:ascii="Times New Roman" w:hAnsi="Times New Roman"/>
          <w:sz w:val="20"/>
        </w:rPr>
      </w:pPr>
      <w:r>
        <w:rPr>
          <w:rFonts w:ascii="Times New Roman" w:hAnsi="Times New Roman"/>
          <w:sz w:val="20"/>
        </w:rPr>
        <w:t xml:space="preserve">8.02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8.01</w:t>
      </w:r>
      <w:r>
        <w:rPr>
          <w:rFonts w:ascii="Times New Roman" w:hAnsi="Times New Roman"/>
          <w:sz w:val="20"/>
        </w:rPr>
        <w:t xml:space="preserve">, this Agreement shall become null and void (other than </w:t>
      </w:r>
      <w:r>
        <w:rPr>
          <w:rFonts w:ascii="Times New Roman" w:hAnsi="Times New Roman"/>
          <w:sz w:val="20"/>
          <w:u w:val="single"/>
        </w:rPr>
        <w:t>Section 6.05(c)</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w:t>
      </w:r>
      <w:r>
        <w:rPr>
          <w:rFonts w:ascii="Times New Roman" w:hAnsi="Times New Roman"/>
          <w:sz w:val="20"/>
          <w:u w:val="single"/>
        </w:rPr>
        <w:t>Section 6.10(e)</w:t>
      </w:r>
      <w:r>
        <w:rPr>
          <w:rFonts w:ascii="Times New Roman" w:hAnsi="Times New Roman"/>
          <w:sz w:val="20"/>
        </w:rPr>
        <w:t xml:space="preserve"> (</w:t>
      </w:r>
      <w:r>
        <w:rPr>
          <w:rFonts w:ascii="Times New Roman" w:hAnsi="Times New Roman"/>
          <w:i/>
          <w:sz w:val="20"/>
        </w:rPr>
        <w:t>Certain Financing expense reimbursement and indemnification</w:t>
      </w:r>
      <w:r>
        <w:rPr>
          <w:rFonts w:ascii="Times New Roman" w:hAnsi="Times New Roman"/>
          <w:sz w:val="20"/>
        </w:rPr>
        <w:t xml:space="preserve">), this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(other than </w:t>
      </w:r>
      <w:r>
        <w:rPr>
          <w:rFonts w:ascii="Times New Roman" w:hAnsi="Times New Roman"/>
          <w:sz w:val="20"/>
          <w:u w:val="single"/>
        </w:rPr>
        <w:t>Section 8.01</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w:t>
      </w:r>
      <w:r>
        <w:rPr>
          <w:rFonts w:ascii="Times New Roman" w:hAnsi="Times New Roman"/>
          <w:i/>
          <w:sz w:val="20"/>
        </w:rPr>
        <w:t>Miscellaneous Provisions</w:t>
      </w:r>
      <w:r>
        <w:rPr>
          <w:rFonts w:ascii="Times New Roman" w:hAnsi="Times New Roman"/>
          <w:sz w:val="20"/>
        </w:rPr>
        <w:t xml:space="preserve">) (other than </w:t>
      </w:r>
      <w:r>
        <w:rPr>
          <w:rFonts w:ascii="Times New Roman" w:hAnsi="Times New Roman"/>
          <w:sz w:val="20"/>
          <w:u w:val="single"/>
        </w:rPr>
        <w:t>Section 9.07</w:t>
      </w:r>
      <w:r>
        <w:rPr>
          <w:rFonts w:ascii="Times New Roman" w:hAnsi="Times New Roman"/>
          <w:sz w:val="20"/>
        </w:rPr>
        <w:t xml:space="preserve">), all of which shall survive termination of this Agreement and continue in full force and effect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relieve any party hereto from liability for fraud or for any Willful Breach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8.03 </w:t>
      </w:r>
      <w:r>
        <w:rPr>
          <w:rFonts w:ascii="Times New Roman" w:hAnsi="Times New Roman"/>
          <w:sz w:val="20"/>
          <w:u w:val="single"/>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this Agreement is terminated by Parent pursuant to </w:t>
      </w:r>
      <w:r>
        <w:rPr>
          <w:rFonts w:ascii="Times New Roman" w:hAnsi="Times New Roman"/>
          <w:sz w:val="20"/>
          <w:u w:val="single"/>
        </w:rPr>
        <w:t>Section 8.01(c)(ii)</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(b) If this Agreement is terminated by the Company pursuant to </w:t>
      </w:r>
      <w:r>
        <w:rPr>
          <w:rFonts w:ascii="Times New Roman" w:hAnsi="Times New Roman"/>
          <w:sz w:val="20"/>
          <w:u w:val="single"/>
        </w:rPr>
        <w:t>Section 8.01(d)(ii)</w:t>
      </w:r>
      <w:r>
        <w:rPr>
          <w:rFonts w:ascii="Times New Roman" w:hAnsi="Times New Roman"/>
          <w:sz w:val="20"/>
        </w:rPr>
        <w:t xml:space="preserve"> (</w:t>
      </w:r>
      <w:r>
        <w:rPr>
          <w:rFonts w:ascii="Times New Roman" w:hAnsi="Times New Roman"/>
          <w:i/>
          <w:sz w:val="20"/>
        </w:rPr>
        <w:t>Superior Proposal</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prior to or concurrently with, and as a condition to the effectiveness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by the Company pursuant to </w:t>
      </w:r>
      <w:r>
        <w:rPr>
          <w:rFonts w:ascii="Times New Roman" w:hAnsi="Times New Roman"/>
          <w:sz w:val="20"/>
          <w:u w:val="single"/>
        </w:rPr>
        <w:t>Section 8.01(d)(iii)</w:t>
      </w:r>
      <w:r>
        <w:rPr>
          <w:rFonts w:ascii="Times New Roman" w:hAnsi="Times New Roman"/>
          <w:sz w:val="20"/>
        </w:rPr>
        <w:t xml:space="preserve">,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8.01(d)(i)</w:t>
      </w:r>
      <w:r>
        <w:rPr>
          <w:rFonts w:ascii="Times New Roman" w:hAnsi="Times New Roman"/>
          <w:sz w:val="20"/>
        </w:rPr>
        <w:t xml:space="preserve"> as a result of a Willful Breach by Parent, Intermediate or Merger Sub,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Each of the Company and Parent acknowledges and agrees that the agreements contained in this </w:t>
      </w:r>
      <w:r>
        <w:rPr>
          <w:rFonts w:ascii="Times New Roman" w:hAnsi="Times New Roman"/>
          <w:sz w:val="20"/>
          <w:u w:val="single"/>
        </w:rPr>
        <w:t>Section 8.03</w:t>
      </w:r>
      <w:r>
        <w:rPr>
          <w:rFonts w:ascii="Times New Roman" w:hAnsi="Times New Roman"/>
          <w:sz w:val="20"/>
        </w:rPr>
        <w:t xml:space="preserve"> are an integral part of the transactions contemplated by this Agreement, and that, without these agreements, neither the Company nor Parent would have entered into this Agreement. Accordingly, if the Company or Parent, as applicable, fails promptly to pay any amount due pursuant to this </w:t>
      </w:r>
      <w:r>
        <w:rPr>
          <w:rFonts w:ascii="Times New Roman" w:hAnsi="Times New Roman"/>
          <w:sz w:val="20"/>
          <w:u w:val="single"/>
        </w:rPr>
        <w:t>Section 8.03</w:t>
      </w:r>
      <w:r>
        <w:rPr>
          <w:rFonts w:ascii="Times New Roman" w:hAnsi="Times New Roman"/>
          <w:sz w:val="20"/>
        </w:rPr>
        <w:t xml:space="preserve">, and, in order to obtain such payment, Parent or the Company, as applicable, commences a suit that results in an award against the Company or Parent, as applicable, for such amount, the Company or Parent, as applicable, shall pay to Parent or the Company (or their respective designee), as applicable, (x) in the case of any award against the Company, Parent’s and Merger Sub’s costs and expenses (including attorneys’ fees and expenses) in connection with such suit or (y) in the case of an award against Parent or Merger Sub, the Company’s costs and expenses (including attorneys’ fees and expenses) in connection with such suit, in each case, together with interest on the applicable amount from the date such payment was required to be made until the date of payment at a rate equal to the lesser of 10% per annum and the maximum rate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Agreement (but subject to the last sentence of this </w:t>
      </w:r>
      <w:r>
        <w:rPr>
          <w:rFonts w:ascii="Times New Roman" w:hAnsi="Times New Roman"/>
          <w:sz w:val="20"/>
          <w:u w:val="single"/>
        </w:rPr>
        <w:t>Section 8.03(f)</w:t>
      </w:r>
      <w:r>
        <w:rPr>
          <w:rFonts w:ascii="Times New Roman" w:hAnsi="Times New Roman"/>
          <w:sz w:val="20"/>
        </w:rPr>
        <w:t xml:space="preserve">), if Parent (or its designee) receives payment of the Termination Fee from the Company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Parent Related Parties against the Company Related Parties, none of the Company Related Parties shall have any further liability or obligation relating to or arising out of this Agreement or the transactions contemplated hereby or thereby, and in no event shall any Parent Related Party seek or be entitled to recover from any Company Related Parties, and Parent on behalf of itself and the Parent Related Parties hereby irrevocably waives and relinquishes any right to seek or recover, any monetary damages in the aggregate in excess of such amount. This </w:t>
      </w:r>
      <w:r>
        <w:rPr>
          <w:rFonts w:ascii="Times New Roman" w:hAnsi="Times New Roman"/>
          <w:sz w:val="20"/>
          <w:u w:val="single"/>
        </w:rPr>
        <w:t>Section 8.03(f)</w:t>
      </w:r>
      <w:r>
        <w:rPr>
          <w:rFonts w:ascii="Times New Roman" w:hAnsi="Times New Roman"/>
          <w:sz w:val="20"/>
        </w:rPr>
        <w:t xml:space="preserve"> shall not relieve the Company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Parent Related Parties be entitled to receive both the Termination Fee and any monetary damages for Willful Breach or for any breaches of the Confidentiality Agreement (and any Termination Fee actually paid to Parent shall be credited dollar-for-dollar against any monetary damages finally awarded to the Parent Related Parties for Willful Breach or for any breaches of the Confidentiality Agreement), but, for the avoidance of doubt, nothing in this </w:t>
      </w:r>
      <w:r>
        <w:rPr>
          <w:rFonts w:ascii="Times New Roman" w:hAnsi="Times New Roman"/>
          <w:sz w:val="20"/>
          <w:u w:val="single"/>
        </w:rPr>
        <w:t>Section 8.03(f)</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to the contrary in this Agreement (but subject to the last sentence of this </w:t>
      </w:r>
      <w:r>
        <w:rPr>
          <w:rFonts w:ascii="Times New Roman" w:hAnsi="Times New Roman"/>
          <w:sz w:val="20"/>
          <w:u w:val="single"/>
        </w:rPr>
        <w:t>Section 8.03(g)</w:t>
      </w:r>
      <w:r>
        <w:rPr>
          <w:rFonts w:ascii="Times New Roman" w:hAnsi="Times New Roman"/>
          <w:sz w:val="20"/>
        </w:rPr>
        <w:t xml:space="preserve">), if the Company (or its designee) receives payment of the Reverse Termination Fee from Parent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Company Related Parties against the Parent Related Parties, none of the Parent Related Parties shall have any further liability or obligation relating to or arising out of this Agreement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or thereby, and in no event shall any Company Related Party seek or be entitled to recover from any Parent Related Parties, and the Company on behalf of itself and the Company Related Parties hereby irrevocably waives and relinquishes any right to seek or recover, any monetary damages in the aggregate in excess of such amount;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8.03(g)</w:t>
      </w:r>
      <w:r>
        <w:rPr>
          <w:rFonts w:ascii="Times New Roman" w:hAnsi="Times New Roman"/>
          <w:sz w:val="20"/>
        </w:rPr>
        <w:t xml:space="preserve"> shall limit or waive the Company’s right to enforce Parent’s reimbursement, indemnification, expense or other obligations under </w:t>
      </w:r>
      <w:r>
        <w:rPr>
          <w:rFonts w:ascii="Times New Roman" w:hAnsi="Times New Roman"/>
          <w:sz w:val="20"/>
          <w:u w:val="single"/>
        </w:rPr>
        <w:t>Section 6.10(e)</w:t>
      </w:r>
      <w:r>
        <w:rPr>
          <w:rFonts w:ascii="Times New Roman" w:hAnsi="Times New Roman"/>
          <w:sz w:val="20"/>
        </w:rPr>
        <w:t xml:space="preserve"> that expressly survive termination of this Agreement. This </w:t>
      </w:r>
      <w:r>
        <w:rPr>
          <w:rFonts w:ascii="Times New Roman" w:hAnsi="Times New Roman"/>
          <w:sz w:val="20"/>
          <w:u w:val="single"/>
        </w:rPr>
        <w:t>Section 8.03(g)</w:t>
      </w:r>
      <w:r>
        <w:rPr>
          <w:rFonts w:ascii="Times New Roman" w:hAnsi="Times New Roman"/>
          <w:sz w:val="20"/>
        </w:rPr>
        <w:t xml:space="preserve"> shall not relieve Parent, Intermediate, Merger Sub or the Guarantor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Company Related Parties be entitled to receive both the Reverse Termination Fee and any monetary damages for Willful Breach or for any breaches of the Confidentiality Agreement (and any Reverse Termination Fee actually paid to the Company shall be credited dollar-for-dollar against any monetary damages finally awarded to the Company Related Parties for Willful Breach or for any breaches of the Confidentiality Agreement), but, for the avoidance of doubt, nothing in this </w:t>
      </w:r>
      <w:r>
        <w:rPr>
          <w:rFonts w:ascii="Times New Roman" w:hAnsi="Times New Roman"/>
          <w:sz w:val="20"/>
          <w:u w:val="single"/>
        </w:rPr>
        <w:t>Section 8.03(g)</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In no event shall Parent be entitled to receive more than one payment of the Termination Fee in connection with this Agreement, and in no event shall the Company be required to pay the Termination Fee on more than one occasion. In no event shall the Company be entitled to receive more than one payment of the Reverse Termination Fee in connection with this Agreement, and in no event shall Parent be required to pay the Reverse Termination Fee on more than one occasion. While Parent and the Company, as the case may be, may pursue both a grant of specific performance in accordance with </w:t>
      </w:r>
      <w:r>
        <w:rPr>
          <w:rFonts w:ascii="Times New Roman" w:hAnsi="Times New Roman"/>
          <w:sz w:val="20"/>
          <w:u w:val="single"/>
        </w:rPr>
        <w:t>Section 9.07</w:t>
      </w:r>
      <w:r>
        <w:rPr>
          <w:rFonts w:ascii="Times New Roman" w:hAnsi="Times New Roman"/>
          <w:sz w:val="20"/>
        </w:rPr>
        <w:t xml:space="preserve"> and the payment of the Termination Fee or Reverse Termination Fee, as applicable, under this </w:t>
      </w:r>
      <w:r>
        <w:rPr>
          <w:rFonts w:ascii="Times New Roman" w:hAnsi="Times New Roman"/>
          <w:sz w:val="20"/>
          <w:u w:val="single"/>
        </w:rPr>
        <w:t>Section 8.03</w:t>
      </w:r>
      <w:r>
        <w:rPr>
          <w:rFonts w:ascii="Times New Roman" w:hAnsi="Times New Roman"/>
          <w:sz w:val="20"/>
        </w:rPr>
        <w:t xml:space="preserve">, under no circumstances shall Parent or the Company, as applicable, be permitted or entitled to receive both a grant of specific performance that results in the consummation of the Merger and any money damages, including all or any portion of the Termination Fee or Reverse Termination Fee,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8.04 </w:t>
      </w:r>
      <w:r>
        <w:rPr>
          <w:rFonts w:ascii="Times New Roman" w:hAnsi="Times New Roman"/>
          <w:sz w:val="20"/>
          <w:u w:val="single"/>
        </w:rPr>
        <w:t>Extension; Waiver</w:t>
      </w:r>
      <w:r>
        <w:rPr>
          <w:rFonts w:ascii="Times New Roman" w:hAnsi="Times New Roman"/>
          <w:sz w:val="20"/>
        </w:rPr>
        <w:t xml:space="preserve">. At any time prior to the Effective Time, Parent and the Company may (a) extend the time for the performance of any of the obligations or other acts of the other parties hereto, (b) to the extent permitted by Law, waive any inaccuracies in the representations and warranties contained herein or in any document delivered pursuant hereto, and (c) to the extent permitted by Law, waive compliance with any of the agreements or conditions contained herein. Any agreement on the part of a party hereto to any such extension or waiver shall be valid only if set forth in an instrument in writing signed on behalf of such party hereto. The failure of any party hereto to this Agreement to assert any of its rights under this Agreement or otherwise shall not constitute a waiver of such rights. The Company and the Board may not take or authorize any such actions contemplated by this </w:t>
      </w:r>
      <w:r>
        <w:rPr>
          <w:rFonts w:ascii="Times New Roman" w:hAnsi="Times New Roman"/>
          <w:sz w:val="20"/>
          <w:u w:val="single"/>
        </w:rPr>
        <w:t>Section 8.04</w:t>
      </w:r>
      <w:r>
        <w:rPr>
          <w:rFonts w:ascii="Times New Roman" w:hAnsi="Times New Roman"/>
          <w:sz w:val="20"/>
        </w:rPr>
        <w:t xml:space="preserve"> without the prior approval of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9.01 </w:t>
      </w:r>
      <w:r>
        <w:rPr>
          <w:rFonts w:ascii="Times New Roman" w:hAnsi="Times New Roman"/>
          <w:sz w:val="20"/>
          <w:u w:val="single"/>
        </w:rPr>
        <w:t>No Survival of Representations and Warranties; Reliance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warranties and covenants in this Agreement and/or in any document, certificate or instrument delivered pursuant to or in connection with this Agreement will terminate as of, and will not survive, the Effective Time, and thereafter none of the parties hereto nor any of their Affiliates nor any of their respective current or former officers, directors, employees, partners, managers, stockholders, members, advisors, consultants, agents or representatives, or their respective successors and assigns, will have any liability whatsoever with respect to any such representation, warranty, covenant or agreement, except that any covenants or agreements that by their terms are to be performed in whole or in part at or after the Effective Time, or that otherwise expressly survive the Effective Time or termination of this Agreement, shall survive the Effective Time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(b) Parent, Intermediate and Merger Sub hereby acknowledge and agree that (i) except for the matters expressly covered by the provisions of this Agreement, the Company Disclosure Letter, any certificate delivered pursuant to this Agreement, the Limited Guarantee, the Support Agreement or the Confidentiality Agreement, each of Parent, Intermediate and Merger Sub is relying on its own investigation and analysis in entering into the transactions contemplated hereby, (ii) neither the Company nor any of its Subsidiaries nor any of their respective Representatives, solely in their respective capacities as representatives of the Company or any of its Subsidiaries, makes, is making or has made any representation or warranty, express or implied, as to the Company, its Subsidiaries or its or their respective business or operations or the accuracy or completeness of any information furnished or made available to Parent, Intermediate, Merger Sub or any of their Representatives, except as expressly set forth in this Agreement, on the Company Disclosure Letter, any certificate delivered pursuant to this Agreement, the Limited Guarantee, the Support Agreement or the Confidentiality Agreement; (iii) each of Parent, Intermediate and Merger Sub, on its own behalf and on behalf of its Affiliates and its and their respective Representatives, hereby disclaims reliance on any representations or warranties or other information provided to them by the Company or any of its Subsidiaries or their respective Representatives, in their capacities as such, except for the representations and warranties expressly set forth in ARTICLE</w:t>
      </w:r>
      <w:r>
        <w:rPr>
          <w:rFonts w:ascii="Times New Roman" w:hAnsi="Times New Roman"/>
          <w:sz w:val="20"/>
          <w:u w:val="single"/>
        </w:rPr>
        <w:t xml:space="preserve"> IV</w:t>
      </w:r>
      <w:r>
        <w:rPr>
          <w:rFonts w:ascii="Times New Roman" w:hAnsi="Times New Roman"/>
          <w:sz w:val="20"/>
        </w:rPr>
        <w:t xml:space="preserve">; (iv) none of Parent, Intermediate or Merger Sub has relied on any representation or warranty from the Company, any of its Subsidiaries, any of its or their respective Representatives, solely in their respective capacities as representatives of the Company or any of its Subsidiaries, in determining to enter into this Agreement, except as expressly set forth in this Agreement; and (v) neither the Company nor any of its Subsidiaries shall have any liability to Parent, Intermediate, Merger Sub or any other Person with respect to any projections, forecasts, estimates, plans or budgets of future revenue, expenses or expenditures, future results of operations, future cash flows or the future financial condition of the Company or any of its Subsidiaries or the future business, operations or affairs of the Company or any of its Subsidiaries;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9.01(b)</w:t>
      </w:r>
      <w:r>
        <w:rPr>
          <w:rFonts w:ascii="Times New Roman" w:hAnsi="Times New Roman"/>
          <w:sz w:val="20"/>
        </w:rPr>
        <w:t xml:space="preserve"> shall limit, impair or otherwise affect the rights of Parent or any Parent Related Party with respect to any representation, warranty, covenant or agreement expressly set forth in this Agreement, any certificate delivered pursuant to this Agreement, the Limited Guarantee, the Support Agreement or the Confidentiality Agreement. Parent, Intermediate and Merger Sub are each knowledgeable about the industry in which the Company and its Subsidiaries operate and is capable of evaluating the merits and risks of the transactions contemplated by this Agreement. Parent, Intermediate and Merger Sub have been afforded access to the books and records, facilities and personnel of the Company and its Subsidiaries for purposes of conducting a due diligence investigation of the Company and its Subsidiaries and has conducted a full due diligence investigation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Company hereby acknowledges and agrees that (i) except for the matters expressly covered by the provisions of this Agreement, the Parent Disclosure Letter, any certificate delivered pursuant to this Agreement, the Equity Commitment Letter, the Limited Guarantee, the Support Agreement, or the Confidentiality Agreement, the Company is relying on its own investigation and analysis in entering into the transactions contemplated hereby, (ii) none of Parent, Intermediate, Merger Sub nor any of their respective Representatives, solely in their respective capacities as representatives of Parent, Intermediate or Merger Sub, makes, is making or has made any representation or warranty, express or implied, as to Parent, Intermediate or Merger Sub or their respective business or operations or the accuracy or completeness of any information furnished or made available to the Company or any of its Representatives, except as expressly set forth in this Agreement, the Parent Disclosure Letter, any certificate delivered pursuant to this Agreement, the Equity Commitment Letter, the Limited Guarantee, the Support Agreement, or the Confidentiality Agreement; (iii) the Company hereby disclaims reliance on any representations or warranties or other information provided to it by Parent, Intermediate and Merger Sub or their respective Representatives, in their capacities as such, except for the representations and warranties expressly set forth in ARTICLE</w:t>
      </w:r>
      <w:r>
        <w:rPr>
          <w:rFonts w:ascii="Times New Roman" w:hAnsi="Times New Roman"/>
          <w:sz w:val="20"/>
          <w:u w:val="single"/>
        </w:rPr>
        <w:t xml:space="preserve"> V</w:t>
      </w:r>
      <w:r>
        <w:rPr>
          <w:rFonts w:ascii="Times New Roman" w:hAnsi="Times New Roman"/>
          <w:sz w:val="20"/>
        </w:rPr>
        <w:t xml:space="preserve">; and (iv) the Company has not relied on any representation or warranty from Parent, Intermediate, Merger Sub or their respective Representatives, solely in their respective capacities as representatives of Parent, Intermediate or Merger Sub, in determining to enter into this Agreement, except as expressly set forth in this Agreement;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9.01(c)</w:t>
      </w:r>
      <w:r>
        <w:rPr>
          <w:rFonts w:ascii="Times New Roman" w:hAnsi="Times New Roman"/>
          <w:sz w:val="20"/>
        </w:rPr>
        <w:t xml:space="preserve"> shall limit, impair or otherwise affect the rights of the Company or any Company Related Party with respect to any representation, warranty, covenant or agreement expressly set forth in this Agreement, any certificate delivered pursuant to this Agreement, the Equity Commitment Letter, the Limited Guarantee, the Support Agreement, or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9.02 </w:t>
      </w:r>
      <w:r>
        <w:rPr>
          <w:rFonts w:ascii="Times New Roman" w:hAnsi="Times New Roman"/>
          <w:sz w:val="20"/>
          <w:u w:val="single"/>
        </w:rPr>
        <w:t>Amendment or Supplement</w:t>
      </w:r>
      <w:r>
        <w:rPr>
          <w:rFonts w:ascii="Times New Roman" w:hAnsi="Times New Roman"/>
          <w:sz w:val="20"/>
        </w:rPr>
        <w:t xml:space="preserve">. Subject to compliance with applicable Law, at any time prior to the Effective Time, this Agreement may be amended, modified or supplemented in any and all respects only by written agreement of the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receipt of the Company Stockholder Approval, there shall be no amendment or change to the provisions hereof which by Law would require further approval by the stockholders of the Company without such approval. The Company and the Board may not take or authorize any such actions contemplated by this </w:t>
      </w:r>
      <w:r>
        <w:rPr>
          <w:rFonts w:ascii="Times New Roman" w:hAnsi="Times New Roman"/>
          <w:sz w:val="20"/>
          <w:u w:val="single"/>
        </w:rPr>
        <w:t>Section 9.02</w:t>
      </w:r>
      <w:r>
        <w:rPr>
          <w:rFonts w:ascii="Times New Roman" w:hAnsi="Times New Roman"/>
          <w:sz w:val="20"/>
        </w:rPr>
        <w:t xml:space="preserve"> without the prior approval of the Special Committee. Notwithstanding anything to the contrary contained herein, none of the Debt Financing Provisions (and any defined term or other provision of this Agreement to the extent an amendment, modification or supplement of such provision would modify the substance of any such Debt Financing Provisions) may be amended, modified or supplemented in any manner that is adverse in any respect to any Debt Financing Sources Related Party in its capacity as such without the prior written consent of the Debt Financing Sources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9.03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hereunder shall be assigned, in whole or in part, by operation of Law or otherwise, by any of the parties hereto without the prior written consent of the other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Parent, Intermediate or Merger Sub will have the right pledge or collaterally assign this Agreement as security for any financing, including to the Debt Financing Sources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representative therefor) in connection with any Debt Financing. No assignment by any party hereto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Times New Roman" w:hAnsi="Times New Roman"/>
          <w:sz w:val="20"/>
          <w:u w:val="single"/>
        </w:rPr>
        <w:t>Section 9.03</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9.04 </w:t>
      </w:r>
      <w:r>
        <w:rPr>
          <w:rFonts w:ascii="Times New Roman" w:hAnsi="Times New Roman"/>
          <w:sz w:val="20"/>
          <w:u w:val="single"/>
        </w:rPr>
        <w:t>Counterparts</w:t>
      </w:r>
      <w:r>
        <w:rPr>
          <w:rFonts w:ascii="Times New Roman" w:hAnsi="Times New Roman"/>
          <w:sz w:val="20"/>
        </w:rPr>
        <w:t xml:space="preserve">. This Agreement may be executed in one or more counterparts (including by electronic signature (including DocuSign),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9.05 </w:t>
      </w:r>
      <w:r>
        <w:rPr>
          <w:rFonts w:ascii="Times New Roman" w:hAnsi="Times New Roman"/>
          <w:sz w:val="20"/>
          <w:u w:val="single"/>
        </w:rPr>
        <w:t>Entire Agreement; No Third-Party Beneficiaries</w:t>
      </w:r>
      <w:r>
        <w:rPr>
          <w:rFonts w:ascii="Times New Roman" w:hAnsi="Times New Roman"/>
          <w:sz w:val="20"/>
        </w:rPr>
        <w:t xml:space="preserve">. This Agreement, including the Company Disclosure Letter and the Exhibits attached hereto, together with the Equity Commitment Letter, Limited Guarantee, Support Agreement and Confidentiality Agreement, constitutes the entire agreement, and supersedes all other prior agreements and understandings, both written and oral, among the parties hereto and their Affiliates, or any of them, with respect to the subject matter hereof and thereof. This Agreement is not intended to and does not confer upon any Person other than the parties hereto any rights or remedies hereunder, except that the following Persons shall be deemed express third-party beneficiaries of this Agreement: (i) if the Effective Time occurs, the holders of shares of Company Common Stock solely in respect of their right to receive the Merger Consideration as provided in </w:t>
      </w:r>
      <w:r>
        <w:rPr>
          <w:rFonts w:ascii="Times New Roman" w:hAnsi="Times New Roman"/>
          <w:sz w:val="20"/>
          <w:u w:val="single"/>
        </w:rPr>
        <w:t>Section 3.01</w:t>
      </w:r>
      <w:r>
        <w:rPr>
          <w:rFonts w:ascii="Times New Roman" w:hAnsi="Times New Roman"/>
          <w:sz w:val="20"/>
        </w:rPr>
        <w:t xml:space="preserve">; (ii) if the Effective Time occurs, the holders of Equity-Based Awards solely in respect of their right to receive such amounts to the extent provided for in </w:t>
      </w:r>
      <w:r>
        <w:rPr>
          <w:rFonts w:ascii="Times New Roman" w:hAnsi="Times New Roman"/>
          <w:sz w:val="20"/>
          <w:u w:val="single"/>
        </w:rPr>
        <w:t>ARTICLE III</w:t>
      </w:r>
      <w:r>
        <w:rPr>
          <w:rFonts w:ascii="Times New Roman" w:hAnsi="Times New Roman"/>
          <w:sz w:val="20"/>
        </w:rPr>
        <w:t xml:space="preserve">; (iii) if the Effective Time occurs, the Indemnified Parties solely in respect of their rights under </w:t>
      </w:r>
      <w:r>
        <w:rPr>
          <w:rFonts w:ascii="Times New Roman" w:hAnsi="Times New Roman"/>
          <w:sz w:val="20"/>
          <w:u w:val="single"/>
        </w:rPr>
        <w:t>Section 6.06</w:t>
      </w:r>
      <w:r>
        <w:rPr>
          <w:rFonts w:ascii="Times New Roman" w:hAnsi="Times New Roman"/>
          <w:sz w:val="20"/>
        </w:rPr>
        <w:t xml:space="preserve">; and (iv) with respect to the Debt Financing Provisions, the Debt Financing Sources. For the avoidance of doubt, solely for purposes of the approval and adoption of this Agreement under the DGCL, none of the Exhibits attached hereto or the Company Disclosure Letter or the Equity Commitment Letter, Limited Guarantee, the Support Agreement or the Confidentiality Agreement, shall be deemed part of this Agreement, but shall for all other purposes have the effects provided therein and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9.06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all disputes, controversies or other Actions arising out of or relating to this Agreement or the transactions contemplated by this Agreement, including matters of validity, construction, effect, performance and remedies, shall be governed by, and construed in accordance with, the Laws of the State of Delaware, regardless of the Laws that might otherwise govern under any applicable conflict of laws principles (including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All Actions arising out of or relating to this Agreement or the transactions contemplated by this Agreement shall be heard and determined in the Court of Chancery of the State of Delaware (or, if the Court of Chancery of the State of Delaware declines to accept 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jurisdiction by motion or otherwise request for leave from any such court and (iv) agree to not bring any Action arising out of or relating to this Agreement or the transactions contemplated by this Agreement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sz w:val="20"/>
          <w:u w:val="single"/>
        </w:rPr>
        <w:t>Section 9.06(b)</w:t>
      </w:r>
      <w:r>
        <w:rPr>
          <w:rFonts w:ascii="Times New Roman" w:hAnsi="Times New Roman"/>
          <w:sz w:val="20"/>
        </w:rPr>
        <w:t xml:space="preserve"> shall not constitute general consents to service of process in the State of Delaware and shall have no effect for any purpose except as provided in this </w:t>
      </w:r>
      <w:r>
        <w:rPr>
          <w:rFonts w:ascii="Times New Roman" w:hAnsi="Times New Roman"/>
          <w:sz w:val="20"/>
          <w:u w:val="single"/>
        </w:rPr>
        <w:t xml:space="preserve">Section 9.06(b) </w:t>
      </w:r>
      <w:r>
        <w:rPr>
          <w:rFonts w:ascii="Times New Roman" w:hAnsi="Times New Roman"/>
          <w:sz w:val="20"/>
        </w:rPr>
        <w:t xml:space="preserve">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hAnsi="Times New Roman"/>
          <w:sz w:val="20"/>
          <w:u w:val="single"/>
        </w:rPr>
        <w:t>Section 9.09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each party to this Agreement acknowledges and irrevocably agrees (i) that any Action, whether at law or in equity, whether in contract or in tort or otherwise, against any Debt Financing Sources Related Party arising out of or relating to this Agreement or the Debt Financing or the performance thereunder shall be subject to the exclusive jurisdiction of the Supreme Court of the State of New York, County of New York, or, if under applicable Law exclusive jurisdiction is vested in Federal courts, the U.S. District Court for the Southern District of New York (and appellate courts thereof), (ii) that, except to the extent relating to the interpretation of any provisions in this Agreement (other than those applicable to the Debt Financing Sources) or the Equity Commitment Letter, any legal action, whether at law or in equity, whether in contract or in tort or otherwise, against any Debt Financing Sources Related Party shall be governed by, and construed in accordance with, the Laws of the State of New York, (iii) not to bring or permit any of their Affiliates to bring any such Action in any other court and (iv) that the provisions of this </w:t>
      </w:r>
      <w:r>
        <w:rPr>
          <w:rFonts w:ascii="Times New Roman" w:hAnsi="Times New Roman"/>
          <w:sz w:val="20"/>
          <w:u w:val="single"/>
        </w:rPr>
        <w:t>Section 9.06(c)</w:t>
      </w:r>
      <w:r>
        <w:rPr>
          <w:rFonts w:ascii="Times New Roman" w:hAnsi="Times New Roman"/>
          <w:sz w:val="20"/>
        </w:rPr>
        <w:t xml:space="preserve"> shall apply to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this Agreement to the contrary, each party hereto hereby irrevocably and unconditionally agrees that it will not bring or support any Action against any Debt Financing Sources Related Party in any way relating to this Agreement or any of the transactions contemplated by this Agreement, including any dispute arising out of or relating in any way to the Debt Financing or the performance thereof, in any forum other than a court of competent jurisdiction sitting in the Borough of Manhattan of the City of New York, whether a state or federal court, that the provisions of </w:t>
      </w:r>
      <w:r>
        <w:rPr>
          <w:rFonts w:ascii="Times New Roman" w:hAnsi="Times New Roman"/>
          <w:sz w:val="20"/>
          <w:u w:val="single"/>
        </w:rPr>
        <w:t>Section 9.08</w:t>
      </w:r>
      <w:r>
        <w:rPr>
          <w:rFonts w:ascii="Times New Roman" w:hAnsi="Times New Roman"/>
          <w:sz w:val="20"/>
        </w:rPr>
        <w:t xml:space="preserve"> relating to the waiver of jury trial shall apply to such action, suit or proceeding and that, except to the extent relating to the interpretation of any provisions in this Agreement or the Equity Commitment Letter, any such action, suit or proceeding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9.07 </w:t>
      </w:r>
      <w:r>
        <w:rPr>
          <w:rFonts w:ascii="Times New Roman" w:hAnsi="Times New Roman"/>
          <w:sz w:val="20"/>
          <w:u w:val="single"/>
        </w:rPr>
        <w:t>Specific Enforcement</w:t>
      </w:r>
      <w:r>
        <w:rPr>
          <w:rFonts w:ascii="Times New Roman" w:hAnsi="Times New Roman"/>
          <w:sz w:val="20"/>
        </w:rPr>
        <w:t xml:space="preserve">. The parties hereto agree that irreparable damage for which monetary relief (including any fees payable pursuant to </w:t>
      </w:r>
      <w:r>
        <w:rPr>
          <w:rFonts w:ascii="Times New Roman" w:hAnsi="Times New Roman"/>
          <w:sz w:val="20"/>
          <w:u w:val="single"/>
        </w:rPr>
        <w:t>Section 8.03</w:t>
      </w:r>
      <w:r>
        <w:rPr>
          <w:rFonts w:ascii="Times New Roman" w:hAnsi="Times New Roman"/>
          <w:sz w:val="20"/>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contemplated by this Agreement, subject to the terms and conditions of this Agreement. Subject to the express terms of this Agreement, the parties hereto acknowledge and agree that (a) the parties hereto shall be entitled to an injunction or injunctions, specific performance or other equitable relief to prevent breaches of this Agreement and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hereof in the courts described in </w:t>
      </w:r>
      <w:r>
        <w:rPr>
          <w:rFonts w:ascii="Times New Roman" w:hAnsi="Times New Roman"/>
          <w:sz w:val="20"/>
          <w:u w:val="single"/>
        </w:rPr>
        <w:t>Section 9.06(b)</w:t>
      </w:r>
      <w:r>
        <w:rPr>
          <w:rFonts w:ascii="Times New Roman" w:hAnsi="Times New Roman"/>
          <w:sz w:val="20"/>
        </w:rPr>
        <w:t xml:space="preserve"> without posting of bond or other security, this being in addition to any other remedy to which they are entitled under this Agreement, (b) the provisions set forth in </w:t>
      </w:r>
      <w:r>
        <w:rPr>
          <w:rFonts w:ascii="Times New Roman" w:hAnsi="Times New Roman"/>
          <w:sz w:val="20"/>
          <w:u w:val="single"/>
        </w:rPr>
        <w:t>Section 8.03</w:t>
      </w:r>
      <w:r>
        <w:rPr>
          <w:rFonts w:ascii="Times New Roman" w:hAnsi="Times New Roman"/>
          <w:sz w:val="20"/>
        </w:rPr>
        <w:t xml:space="preserve"> shall not be construed to diminish or otherwise impair in any respect any party hereto’s right to specific enforcement and (c) the right of specific enforcement is an integral part of the transactions contemplated by this Agreement and without that right neither the Company nor Parent would have entered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It is explicitly agreed that the right of the Company to seek an injunction, specific performance or other equitable remedies in connection with enforcing Parent’s obligation to cause the Equity Financing to be funded to fund the Merger Consideration and Parent’s, Intermediate’s and Merger Sub’s obligations to effect the Closing shall be available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shall have been satisfied or waived (to the extent such waiver is permitted by applicable Law) (other than those conditions that by their nature are to be satisfied at the Closing, each of which are, at the time the written notice referred to in </w:t>
            </w:r>
            <w:r>
              <w:rPr>
                <w:rFonts w:ascii="Times New Roman" w:hAnsi="Times New Roman"/>
                <w:sz w:val="20"/>
                <w:u w:val="single"/>
              </w:rPr>
              <w:t>clause (iii)</w:t>
            </w:r>
            <w:r>
              <w:rPr>
                <w:rFonts w:ascii="Times New Roman" w:hAnsi="Times New Roman"/>
                <w:sz w:val="20"/>
              </w:rPr>
              <w:t xml:space="preserve"> below is delivered by the Company, capable of being satisfied if the Closing Date were the date of such written notice and subject to the actual satisfaction of such conditions at Closing) at the time when Closing would have been required to occur pursuant to </w:t>
            </w:r>
            <w:r>
              <w:rPr>
                <w:rFonts w:ascii="Times New Roman" w:hAnsi="Times New Roman"/>
                <w:sz w:val="20"/>
                <w:u w:val="single"/>
              </w:rPr>
              <w:t>Section 2.02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Financing has been funded in accordance with the terms thereof or will be funded in accordance with the terms thereof at the Closing if the Equity Financing is funded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confirmed in a written notice delivered to Parent that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(to the extent such waiver is permitted by applicable Law) (other than those conditions that by their nature are to be satisfied at the Closing, each of which are, at the time such written notice is delivered by the Company, capable of being satisfied if the Closing Date were the date of such written notice and subject to the actual satisfaction of such conditions at Closing) and (B) if specific performance is granted and the Equity Financing is funded in accordance with the Equity Commitment Letter, then the Company stands ready, willing and able to then consummate the transactions contemplated by this Agreement on such date and through the end of the date such specific performance is granted (and the Company is so ready, willing and able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have failed to consummate the Closing prior to the end of the second Business Day following the delivery of such confirmation specified in </w:t>
            </w:r>
            <w:r>
              <w:rPr>
                <w:rFonts w:ascii="Times New Roman" w:hAnsi="Times New Roman"/>
                <w:sz w:val="20"/>
                <w:u w:val="single"/>
              </w:rPr>
              <w:t>clause (iii)</w:t>
            </w:r>
            <w:r>
              <w:rPr>
                <w:rFonts w:ascii="Times New Roman" w:hAnsi="Times New Roman"/>
                <w:sz w:val="20"/>
              </w:rPr>
              <w:t xml:space="preserve"> above (it being understood that the conditions to the obligations of Parent, Intermediate and Merger Sub to consummate the transactions contemplated by this Agreement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(other than those conditions that by their nature are to be satisfied at the Closing, but subject to the actual satisfaction of such conditions at the Closing) shall remain satisfied at the close of business on such second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Company is not entitled to enforce Parent’s, Intermediate’s and Merger Sub’s obligations to effect the Closing pursuant to the immediately preceding sentence solely because the condition set forth in </w:t>
      </w:r>
      <w:r>
        <w:rPr>
          <w:rFonts w:ascii="Times New Roman" w:hAnsi="Times New Roman"/>
          <w:sz w:val="20"/>
          <w:u w:val="single"/>
        </w:rPr>
        <w:t>clause (ii)</w:t>
      </w:r>
      <w:r>
        <w:rPr>
          <w:rFonts w:ascii="Times New Roman" w:hAnsi="Times New Roman"/>
          <w:sz w:val="20"/>
        </w:rPr>
        <w:t xml:space="preserve"> above is not satisfied due to the Debt Financing (including the Credit Agreement Financing) not having been funded or not being available to be funded at the Closing, such failure shall not, in and of itself, impair the Company’s right to terminate this Agreement pursuant to </w:t>
      </w:r>
      <w:r>
        <w:rPr>
          <w:rFonts w:ascii="Times New Roman" w:hAnsi="Times New Roman"/>
          <w:sz w:val="20"/>
          <w:u w:val="single"/>
        </w:rPr>
        <w:t>Section 8.01(d)(iii)</w:t>
      </w:r>
      <w:r>
        <w:rPr>
          <w:rFonts w:ascii="Times New Roman" w:hAnsi="Times New Roman"/>
          <w:sz w:val="20"/>
        </w:rPr>
        <w:t xml:space="preserve"> or relieve Parent of its obligation to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The parties hereto acknowledge and agree that any party hereto seeking an injunction or injunctions to prevent breaches of this Agreement and to enforce specifically the terms and provisions of this Agreement in accordance with this </w:t>
      </w:r>
      <w:r>
        <w:rPr>
          <w:rFonts w:ascii="Times New Roman" w:hAnsi="Times New Roman"/>
          <w:sz w:val="20"/>
          <w:u w:val="single"/>
        </w:rPr>
        <w:t>Section 9.07</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9.08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INCLUDING THE DEBT FINANCING. EACH PARTY HERETO CERTIFIES AND ACKNOWLEDGES THAT (A) NO REPRESENTATIVE, AGENT OR ATTORNEY OF ANY OTHER PARTY HERETO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sz w:val="20"/>
          <w:u w:val="single"/>
        </w:rPr>
        <w:t>SECTION 9.08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9.09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Intermediate or Merger Sub: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Luther King Capital Management Corporation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or the Special Committee: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If any term, condition or other provision of this Agreement is finally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Fees and Expenses</w:t>
      </w:r>
      <w:r>
        <w:rPr>
          <w:rFonts w:ascii="Times New Roman" w:hAnsi="Times New Roman"/>
          <w:sz w:val="20"/>
        </w:rPr>
        <w:t xml:space="preserve">. Except as provided in </w:t>
      </w:r>
      <w:r>
        <w:rPr>
          <w:rFonts w:ascii="Times New Roman" w:hAnsi="Times New Roman"/>
          <w:sz w:val="20"/>
          <w:u w:val="single"/>
        </w:rPr>
        <w:t>Section 8.03</w:t>
      </w:r>
      <w:r>
        <w:rPr>
          <w:rFonts w:ascii="Times New Roman" w:hAnsi="Times New Roman"/>
          <w:sz w:val="20"/>
        </w:rPr>
        <w:t xml:space="preserve"> and </w:t>
      </w:r>
      <w:r>
        <w:rPr>
          <w:rFonts w:ascii="Times New Roman" w:hAnsi="Times New Roman"/>
          <w:sz w:val="20"/>
          <w:u w:val="single"/>
        </w:rPr>
        <w:t>Section 6.03(a)</w:t>
      </w:r>
      <w:r>
        <w:rPr>
          <w:rFonts w:ascii="Times New Roman" w:hAnsi="Times New Roman"/>
          <w:sz w:val="20"/>
        </w:rPr>
        <w:t xml:space="preserve">, all fees and expenses incurred in connection with this Agreement, the Merger and the other transactions contemplated by this Agreement shall be paid by the party hereto incurring such fees or expenses, whether or not the Merger or any of the other transactions contemplated by this Agreement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means the degree to which a subject or other thing extends, and such phrase shall not mean simply “if”. The word “will” shall be construed to have the same meaning and effect as the word “shall”. The words “made available to Parent” and words of similar import refer to documents (x) actually in the possession of Sponsor or its Affiliates prior to the execution of this Agreement or (y) included in the Filed SEC Documents. The words “ordinary course of business” (or phrases of similar import), when used in this Agreement, shall be deemed to include actions taken or omitted to be taken by the Company or a Subsidiary of the Company in the ordinary course of such Person’s business consistent with past practice (including, for the avoidance of doubt, with respect to quantity and frequency).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agreement or instrument that is referred to herein means such statute as from time to time amended, modified or supplemented, including by succession of comparable successor statutes and references to all attachments thereto and instruments incorporated therein. References herein to any statute includes all rules and regulations promulgated thereunder. Unless otherwise specifically indicated, all references to “dollars” or “$” shall refer to the lawful money of the U.S. References to a Person are also to its permitted assigns and successors. When calculating the period of time before which, within which or following which any act is to be done or step taken pursuant to this Agreement, except as may be required by applicable Law, the date that is the reference date in calculating such period shall be excluded. If the last day of such period is a non-Business Day, the period in question shall end on the next succeeding Business Day. Any reference to “days” means calendar days unless Business Days are expressly specified. </w:t>
      </w:r>
    </w:p>
    <w:p>
      <w:pPr>
        <w:pStyle w:val="TextBody"/>
        <w:bidi w:val="0"/>
        <w:spacing w:before="120" w:after="0"/>
        <w:jc w:val="left"/>
        <w:rPr>
          <w:rFonts w:ascii="Times New Roman" w:hAnsi="Times New Roman"/>
          <w:sz w:val="20"/>
        </w:rPr>
      </w:pPr>
      <w:r>
        <w:rPr>
          <w:rFonts w:ascii="Times New Roman" w:hAnsi="Times New Roman"/>
          <w:sz w:val="20"/>
        </w:rPr>
        <w:t xml:space="preserve">(b) All references to “directors,” “officers” or “employees” of the Company with respect to any obligation of the Company to cause its (or its Subsidiaries’) directors, officers or employees to take or refrain from taking any action, shall be deemed to exclude J. Bryan King, and no action taken by the Company or any of its Subsidiaries at the direction of J. Bryan King shall be deemed to be a breach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capitalized terms not defined in the Company Disclosure Letter shall have the meanings ascribed to them in this Agreement. Any information set forth in one section or subsection of the Company Disclosure Letter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No disclosure in the Company Disclosure Letter relating to any possible breach or violation of any contract or Law shall be construed as an admission or indication that any such breach or violation exists or has actually occurred.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Non-Recourse</w:t>
      </w:r>
      <w:r>
        <w:rPr>
          <w:rFonts w:ascii="Times New Roman" w:hAnsi="Times New Roman"/>
          <w:sz w:val="20"/>
        </w:rPr>
        <w:t xml:space="preserve">. This Agreement may only be enforced against, and any claims or causes of action that may be based upon, arise out of or relate to this Agreement or the transactions contemplated by this Agreement, or the negotiation, execution or performance of this Agreement (except as set forth in any other agreement delivered in connection herewith), may only be made against the entities that are expressly identified as parties hereto and no past, present or future Affiliate, director, officer, employee, incorporator, member, manager, partner, stockholder, agent, attorney or representative of any party hereto has any liability for any obligations or liabilities of the parties hereto or for any claim based on, in respect of, or by reason of, the transactions contemplated by this Agreement (except as set forth in any other agreement delivered in connection herewith). Notwithstanding the foregoing provisions of this </w:t>
      </w:r>
      <w:r>
        <w:rPr>
          <w:rFonts w:ascii="Times New Roman" w:hAnsi="Times New Roman"/>
          <w:sz w:val="20"/>
          <w:u w:val="single"/>
        </w:rPr>
        <w:t>Section 9.13</w:t>
      </w:r>
      <w:r>
        <w:rPr>
          <w:rFonts w:ascii="Times New Roman" w:hAnsi="Times New Roman"/>
          <w:sz w:val="20"/>
        </w:rPr>
        <w:t xml:space="preserve">, nothing in this </w:t>
      </w:r>
      <w:r>
        <w:rPr>
          <w:rFonts w:ascii="Times New Roman" w:hAnsi="Times New Roman"/>
          <w:sz w:val="20"/>
          <w:u w:val="single"/>
        </w:rPr>
        <w:t>Section 9.13</w:t>
      </w:r>
      <w:r>
        <w:rPr>
          <w:rFonts w:ascii="Times New Roman" w:hAnsi="Times New Roman"/>
          <w:sz w:val="20"/>
        </w:rPr>
        <w:t xml:space="preserve"> shall limit, impair or otherwise affect (a) any rights or remedies of any Person under the Equity Commitment Letter, the Limited Guarantee, the Support Agreement, the Confidentiality Agreement or any other agreement delivered in connection with this Agreement, in each case, to the extent such Person is a party thereto or a Third Party beneficiary thereof, (b) any claim for fraud, intentional misrepresentation or Willful Breach against any Person that committed such fraud, intentional misrepresentation or Willful Breach, or (c) any claim with respect to information supplied or required to be supplied by or on behalf of Parent, Intermediate, Merger Sub, Sponsor, any Affiliated Stockholder or any of their respective Affiliates or Representatives for inclusion in the Proxy Statement, Schedule 13E-3 or any other SEC filing. Without limiting the foregoing, each party hereto irrevocably (i) waives any rights or claims against any Debt Financing Sources and their Related Parties in connection with this Agreement or any Debt Financing (including the Credit Agreement Financing) or in respect of any other document or theory of law or equity (whether in tort, contract or otherwise) or in respect of any oral or written representations made or alleged to be made in connection herewith or therewith and agrees not to commence any action or proceeding against any Debt Financing Source or its Related Parties in connection with this Agreement or any Debt Financing (including the Credit Agreement Financing) or any of the transactions contemplated hereby or thereby or the performance of any services thereunder, or in respect of any other document or theory of law or equity, and agrees to cause any such action or proceeding asserted by it (on behalf of itself and each of its Related Parties) in connection with this Agreement or any Debt Financing (including the Credit Agreement Financing) or in respect of any other document or theory of law or equity against any Debt Financing Source or its Related Parties, or any of the transactions contemplated hereby or thereby or the performance of any services thereunder, to be dismissed or otherwise terminated, and (ii) agrees that no Debt Financing Source or Related Party thereof shall have any liability or obligation for any claims or damages to any party hereto or its Related Parties in connection with Agreement or any Debt Financing (including the Credit Agreement Financing) or the transactions contemplated hereby or thereby or the performance of any services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nothing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shall constitute or result in a release, limitation or waiver of, or a compromise or impairment of any claim with respect to, in whole or in part (x) the rights and interests of the Company (including in the Company’s capacity as the Surviving Corporation) or any other Loan Party (as defined in the Credit Agreement) under the Credit Agreement or any other Loan Document (as defined in the Credit Agreement) and (y) the rights and interests of the Company, Parent, Intermediate and/or Merger Sub under any definitive written agreement entered into by any such Person with any Debt Financing Source in connection with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Special Committee Matters</w:t>
      </w:r>
      <w:r>
        <w:rPr>
          <w:rFonts w:ascii="Times New Roman" w:hAnsi="Times New Roman"/>
          <w:sz w:val="20"/>
        </w:rPr>
        <w:t xml:space="preserve">. No decision, confirmation or determination by the Company shall be made, no approval, consent or waiver by the Company shall be granted, and no other action by the Company or the Board shall be taken, in each case, with respect to matters contemplated by this Agreement, without first obtaining the prior approval of the Special Committee. Any purported action taken in violation of this </w:t>
      </w:r>
      <w:r>
        <w:rPr>
          <w:rFonts w:ascii="Times New Roman" w:hAnsi="Times New Roman"/>
          <w:sz w:val="20"/>
          <w:u w:val="single"/>
        </w:rPr>
        <w:t>Section 9.14</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Any determination as to whether any condition to the obligations of the Company or Parent, Intermediate and Merger Sub has been satisfied or failed, any termination decision by the Company, and any enforcement or waiver of any rights or remedies of the Company under this Agreement, including under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 9.07</w:t>
      </w:r>
      <w:r>
        <w:rPr>
          <w:rFonts w:ascii="Times New Roman" w:hAnsi="Times New Roman"/>
          <w:sz w:val="20"/>
        </w:rPr>
        <w:t xml:space="preserve">, shall be controlled by the Special Committee. Notwithstanding any other provision of this Agreement, from and after the Effective Time, (a) the foregoing provisions of this </w:t>
      </w:r>
      <w:r>
        <w:rPr>
          <w:rFonts w:ascii="Times New Roman" w:hAnsi="Times New Roman"/>
          <w:sz w:val="20"/>
          <w:u w:val="single"/>
        </w:rPr>
        <w:t>Section 9.14</w:t>
      </w:r>
      <w:r>
        <w:rPr>
          <w:rFonts w:ascii="Times New Roman" w:hAnsi="Times New Roman"/>
          <w:sz w:val="20"/>
        </w:rPr>
        <w:t xml:space="preserve"> shall no longer be in effect and (b)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PARENT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INTERMEDIATE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ACQUISITIONS MERGER SUB,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Surviving Company Certificate of Incorporation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p>
    <w:p>
      <w:pPr>
        <w:pStyle w:val="TextBody"/>
        <w:bidi w:val="0"/>
        <w:spacing w:before="0" w:after="0"/>
        <w:jc w:val="right"/>
        <w:rPr>
          <w:rFonts w:ascii="Times New Roman" w:hAnsi="Times New Roman"/>
          <w:b/>
          <w:sz w:val="20"/>
        </w:rPr>
      </w:pPr>
      <w:bookmarkStart w:id="4" w:name="d131211dex101.htm"/>
      <w:bookmarkStart w:id="5" w:name="ksd131211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(this “</w:t>
      </w:r>
      <w:r>
        <w:rPr>
          <w:rFonts w:ascii="Times New Roman" w:hAnsi="Times New Roman"/>
          <w:sz w:val="20"/>
          <w:u w:val="single"/>
        </w:rPr>
        <w:t>Agreement</w:t>
      </w:r>
      <w:r>
        <w:rPr>
          <w:rFonts w:ascii="Times New Roman" w:hAnsi="Times New Roman"/>
          <w:sz w:val="20"/>
        </w:rPr>
        <w:t>”) is made as of July 15, 2026 by and between Distribution Solutions Group, Inc., a Delaware corporation (the “</w:t>
      </w:r>
      <w:r>
        <w:rPr>
          <w:rFonts w:ascii="Times New Roman" w:hAnsi="Times New Roman"/>
          <w:sz w:val="20"/>
          <w:u w:val="single"/>
        </w:rPr>
        <w:t>Company</w:t>
      </w:r>
      <w:r>
        <w:rPr>
          <w:rFonts w:ascii="Times New Roman" w:hAnsi="Times New Roman"/>
          <w:sz w:val="20"/>
        </w:rPr>
        <w:t>”), and Luther King Capital Management Corporation, a Delaware corporation (the “</w:t>
      </w:r>
      <w:r>
        <w:rPr>
          <w:rFonts w:ascii="Times New Roman" w:hAnsi="Times New Roman"/>
          <w:sz w:val="20"/>
          <w:u w:val="single"/>
        </w:rPr>
        <w:t>Voting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and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have entered into an Agreement and Plan of Merger (as amended, restated, supplemented or otherwise modified from time to time in accordance with its terms, the “</w:t>
      </w:r>
      <w:r>
        <w:rPr>
          <w:rFonts w:ascii="Times New Roman" w:hAnsi="Times New Roman"/>
          <w:sz w:val="20"/>
          <w:u w:val="single"/>
        </w:rPr>
        <w:t>Merger Agreement</w:t>
      </w:r>
      <w:r>
        <w:rPr>
          <w:rFonts w:ascii="Times New Roman" w:hAnsi="Times New Roman"/>
          <w:sz w:val="20"/>
        </w:rPr>
        <w:t>”), pursuant to which, among other things,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Intermediate;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Voting Party is the Beneficial Owner of Voting Shares (as defined below), including through certain Controlled Affiliates of the Voting Party;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to the willingness of the Company to enter into the Merger Agreement and as an inducement and in consideration therefor, the Company has required that the Voting Party execute and deliver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for other good and valuable consideration, the receipt, sufficiency and adequacy of which are hereby acknowledged,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w:t>
      </w:r>
      <w:r>
        <w:rPr>
          <w:rFonts w:ascii="Times New Roman" w:hAnsi="Times New Roman"/>
          <w:sz w:val="20"/>
        </w:rPr>
        <w:t>. As used herein, “</w:t>
      </w:r>
      <w:r>
        <w:rPr>
          <w:rFonts w:ascii="Times New Roman" w:hAnsi="Times New Roman"/>
          <w:sz w:val="20"/>
          <w:u w:val="single"/>
        </w:rPr>
        <w:t>Shares</w:t>
      </w:r>
      <w:r>
        <w:rPr>
          <w:rFonts w:ascii="Times New Roman" w:hAnsi="Times New Roman"/>
          <w:sz w:val="20"/>
        </w:rPr>
        <w:t>” means shares of Company Common Stock. “</w:t>
      </w:r>
      <w:r>
        <w:rPr>
          <w:rFonts w:ascii="Times New Roman" w:hAnsi="Times New Roman"/>
          <w:sz w:val="20"/>
          <w:u w:val="single"/>
        </w:rPr>
        <w:t>Voting Shares</w:t>
      </w:r>
      <w:r>
        <w:rPr>
          <w:rFonts w:ascii="Times New Roman" w:hAnsi="Times New Roman"/>
          <w:sz w:val="20"/>
        </w:rPr>
        <w:t>” means all Shares Beneficially Owned by the Voting Party and any and all Shares acquired or Beneficially Owned by the Voting Party subsequent to the date hereof, including any shares of Company Common Stock received as distributions, as a result of a split, reverse split, combination, merger, consolidation, reorganization, reclassification, recapitalization or similar transaction or upon exercise of any option, benefit award, warrant or other security or instrument exercisable, convertible or exchangeable into Company Common Stock. “</w:t>
      </w:r>
      <w:r>
        <w:rPr>
          <w:rFonts w:ascii="Times New Roman" w:hAnsi="Times New Roman"/>
          <w:sz w:val="20"/>
          <w:u w:val="single"/>
        </w:rPr>
        <w:t>Beneficially Own</w:t>
      </w:r>
      <w:r>
        <w:rPr>
          <w:rFonts w:ascii="Times New Roman" w:hAnsi="Times New Roman"/>
          <w:sz w:val="20"/>
        </w:rPr>
        <w:t>,” “</w:t>
      </w:r>
      <w:r>
        <w:rPr>
          <w:rFonts w:ascii="Times New Roman" w:hAnsi="Times New Roman"/>
          <w:sz w:val="20"/>
          <w:u w:val="single"/>
        </w:rPr>
        <w:t>Beneficially Owned</w:t>
      </w:r>
      <w:r>
        <w:rPr>
          <w:rFonts w:ascii="Times New Roman" w:hAnsi="Times New Roman"/>
          <w:sz w:val="20"/>
        </w:rPr>
        <w:t>” and “</w:t>
      </w:r>
      <w:r>
        <w:rPr>
          <w:rFonts w:ascii="Times New Roman" w:hAnsi="Times New Roman"/>
          <w:sz w:val="20"/>
          <w:u w:val="single"/>
        </w:rPr>
        <w:t>Beneficial Ownership</w:t>
      </w:r>
      <w:r>
        <w:rPr>
          <w:rFonts w:ascii="Times New Roman" w:hAnsi="Times New Roman"/>
          <w:sz w:val="20"/>
        </w:rPr>
        <w:t xml:space="preserve">” have the meaning set forth in Rule 13d-3 under the Exchange Act; </w:t>
      </w:r>
      <w:r>
        <w:rPr>
          <w:rFonts w:ascii="Times New Roman" w:hAnsi="Times New Roman"/>
          <w:sz w:val="20"/>
          <w:u w:val="single"/>
        </w:rPr>
        <w:t>provided</w:t>
      </w:r>
      <w:r>
        <w:rPr>
          <w:rFonts w:ascii="Times New Roman" w:hAnsi="Times New Roman"/>
          <w:sz w:val="20"/>
        </w:rPr>
        <w:t xml:space="preserve"> that, for purposes of this Agreement, such terms shall exclude Shares underlying unexercised options, unvested restricted stock units, warrants or other rights to acquire Shares. “</w:t>
      </w:r>
      <w:r>
        <w:rPr>
          <w:rFonts w:ascii="Times New Roman" w:hAnsi="Times New Roman"/>
          <w:sz w:val="20"/>
          <w:u w:val="single"/>
        </w:rPr>
        <w:t>Controlled Affiliate</w:t>
      </w:r>
      <w:r>
        <w:rPr>
          <w:rFonts w:ascii="Times New Roman" w:hAnsi="Times New Roman"/>
          <w:sz w:val="20"/>
        </w:rPr>
        <w:t>” means any Person controlled by the Voting Party and “</w:t>
      </w:r>
      <w:r>
        <w:rPr>
          <w:rFonts w:ascii="Times New Roman" w:hAnsi="Times New Roman"/>
          <w:sz w:val="20"/>
          <w:u w:val="single"/>
        </w:rPr>
        <w:t>control</w:t>
      </w:r>
      <w:r>
        <w:rPr>
          <w:rFonts w:ascii="Times New Roman" w:hAnsi="Times New Roman"/>
          <w:sz w:val="20"/>
        </w:rPr>
        <w:t>”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sz w:val="20"/>
          <w:u w:val="single"/>
        </w:rPr>
        <w:t>Permitted Liens</w:t>
      </w:r>
      <w:r>
        <w:rPr>
          <w:rFonts w:ascii="Times New Roman" w:hAnsi="Times New Roman"/>
          <w:sz w:val="20"/>
        </w:rPr>
        <w:t>” means (a) Liens created by this Agreement, (b) Liens imposed by applicable securities Laws and (c) pledges or other Liens that do not impair or restrict the Voting Party’s ability to vote or cause to be voted any Voting Shares in accordance with this Agreement. “</w:t>
      </w:r>
      <w:r>
        <w:rPr>
          <w:rFonts w:ascii="Times New Roman" w:hAnsi="Times New Roman"/>
          <w:sz w:val="20"/>
          <w:u w:val="single"/>
        </w:rPr>
        <w:t>Transfer</w:t>
      </w:r>
      <w:r>
        <w:rPr>
          <w:rFonts w:ascii="Times New Roman" w:hAnsi="Times New Roman"/>
          <w:sz w:val="20"/>
        </w:rPr>
        <w:t xml:space="preserve">” means, directly or indirectly, to sell, offer, exchange, assign, pledge, encumber, hypothecate, dispose of or otherwise transfer, whether by operation of Law, for value or otherwise, or enter any Contract with respect thereto. Capitalized terms used and not defined herein shall have the respective meanings given to them in the Merger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and Warranties of the Voting Party</w:t>
      </w:r>
      <w:r>
        <w:rPr>
          <w:rFonts w:ascii="Times New Roman" w:hAnsi="Times New Roman"/>
          <w:sz w:val="20"/>
        </w:rPr>
        <w:t xml:space="preserve">. The Voting Party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Authority</w:t>
      </w:r>
      <w:r>
        <w:rPr>
          <w:rFonts w:ascii="Times New Roman" w:hAnsi="Times New Roman"/>
          <w:sz w:val="20"/>
        </w:rPr>
        <w:t xml:space="preserve">. The Voting Party is a corporation duly incorporated, validly existing and in good standing under the Laws of the State of Delaware. The Voting Party has all requisite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other party hereto, constitutes a valid and binding obligation of the Voting Party enforceable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Consents</w:t>
      </w:r>
      <w:r>
        <w:rPr>
          <w:rFonts w:ascii="Times New Roman" w:hAnsi="Times New Roman"/>
          <w:sz w:val="20"/>
        </w:rPr>
        <w:t xml:space="preserve">.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and the Securities Act and (ii) compliance with any applicable state securities, takeover and “blue sky” Laws, except as would not, individually or in the aggregate, reasonably be expected to prevent or delay the consummation of the Merger or the performance by the Voting Party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Conflicts</w:t>
      </w:r>
      <w:r>
        <w:rPr>
          <w:rFonts w:ascii="Times New Roman" w:hAnsi="Times New Roman"/>
          <w:sz w:val="20"/>
        </w:rPr>
        <w:t xml:space="preserve">. The execution, delivery and performance by the Voting Party of this Agreement do not and will not (i) conflict with or result in any violation or breach of any provision of the certificate of incorporation, bylaws or similar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other than in the case of clauses (i), any such violation, breach, conflict, default, termination, acceleration, cancellation or loss that would not, individually or in the aggregate, reasonably be expected to prevent or delay the consummation of the Merger or the performance by the Voting Party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Ownership of Shares</w:t>
      </w:r>
      <w:r>
        <w:rPr>
          <w:rFonts w:ascii="Times New Roman" w:hAnsi="Times New Roman"/>
          <w:sz w:val="20"/>
        </w:rPr>
        <w:t xml:space="preserve">. The Voting Party (i) Beneficially Owns 36,357,588 Voting Shares, free and clear of all Liens other than Permitted Liens, (ii) has the sole power to vote or cause to be voted such Voting Shares, (iii) has not entered into, and has not permitted any Controlled Affiliate to enter into, any voting trust, voting agreement, proxy or other agreement, arrangement or understanding with respect to the voting of such Voting Shares that is inconsistent with this Agreement and (iv) does not otherwise Beneficially Own any Shares or any options, warrants or other rights to acquire Shares, other than as set forth in </w:t>
      </w:r>
      <w:r>
        <w:rPr>
          <w:rFonts w:ascii="Times New Roman" w:hAnsi="Times New Roman"/>
          <w:sz w:val="20"/>
          <w:u w:val="single"/>
        </w:rPr>
        <w:t>clause (i)</w:t>
      </w:r>
      <w:r>
        <w:rPr>
          <w:rFonts w:ascii="Times New Roman" w:hAnsi="Times New Roman"/>
          <w:sz w:val="20"/>
        </w:rPr>
        <w:t xml:space="preserve"> of this </w:t>
      </w:r>
      <w:r>
        <w:rPr>
          <w:rFonts w:ascii="Times New Roman" w:hAnsi="Times New Roman"/>
          <w:sz w:val="20"/>
          <w:u w:val="single"/>
        </w:rPr>
        <w:t>Section 2(d)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Litigation</w:t>
      </w:r>
      <w:r>
        <w:rPr>
          <w:rFonts w:ascii="Times New Roman" w:hAnsi="Times New Roman"/>
          <w:sz w:val="20"/>
        </w:rPr>
        <w:t xml:space="preserve">. There is no Action pending against, or, to the knowledge of the Voting Party, threatened against, the Voting Party or any of its Affiliates that would reasonably be expected to materially impair or materially adversely affect the Voting Party’s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the Voting Party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Authority</w:t>
      </w:r>
      <w:r>
        <w:rPr>
          <w:rFonts w:ascii="Times New Roman" w:hAnsi="Times New Roman"/>
          <w:sz w:val="20"/>
        </w:rPr>
        <w:t xml:space="preserve">. The Company is a corporation duly incorporated, validly existing and in good standing under the Laws of the State of Delaware. The Company has all requisite corporate power and authority and has taken all corporate action necessary, including approval by the Board acting on the recommendation of the Special Committee, to execute, deliver and perform its obligations under this Agreement in accordance with the terms hereof. This Agreement has been duly executed and delivered by the Company and, assuming due authorization, execution and delivery hereof by the other party hereto, constitutes a legal, valid and binding agreement of the Company enforceable against the Company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Consents</w:t>
      </w:r>
      <w:r>
        <w:rPr>
          <w:rFonts w:ascii="Times New Roman" w:hAnsi="Times New Roman"/>
          <w:sz w:val="20"/>
        </w:rPr>
        <w:t xml:space="preserve">. The execution, delivery and performance by the Company of this Agreement do not and will not conflict with or result in any violation or breach of the Company Charter Documents, any applicable Law or any Contract binding upon the Company or any of its Subsidiaries, except as would not reasonably be expected to restrict, prohibit or impair the consummation of the Merger or the performance by the Company of its obligations under this Agreement. No consent, approval, order or authorization of, or registration, declaration or filing with, any Governmental Authority or any other Person is required by or with respect to the Company in connection with this Agreement, except for compliance with applicable requirements of the Exchange Act and the Securities Act, the rules and regulations of Nasdaq and any applicable state securities, takeover and “blue sky” Laws, except as would not reasonably be expected to restrict, prohibit or impair the consummation of the Merger or the performance by the Company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Agreement to Vote Shares</w:t>
      </w:r>
      <w:r>
        <w:rPr>
          <w:rFonts w:ascii="Times New Roman" w:hAnsi="Times New Roman"/>
          <w:sz w:val="20"/>
        </w:rPr>
        <w:t xml:space="preserve">. The Voting Party agrees during the term of this Agreement to vote or cause to be voted, including by each Controlled Affiliate, all Voting Shares at every meeting of the stockholders of the Company at which such matters are considered and at every adjournment, recess or postponement thereof, and, in connection with any action proposed to be taken by written consent of the Company’s stockholders, execute written consents: (a) in favor of (i) the adoption of the Merger Agreement, (ii) the approval of the Merger and the other transactions contemplated by the Merger Agreement, (iii) any proposal to adjourn, recess or postpone the Company Stockholders’ Meeting permitted or required by Section 6.09 of the Merger Agreement and (iv) the approval of any non-binding advisory vote on “golden parachute” executive compensation; and (b) against (i) any Takeover Proposal or Acquisition Agreement, (ii) any action, proposal, transaction or agreement that would reasonably be expected to impede, interfere with, delay, postpone, discourage, adversely affect or prevent the timely consummation of the Merger or the other transactions contemplated by the Merger Agreement, the fulfillment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condition to the Merger set forth in Article VII of the Merger Agreement or the performance by the Company of its obligations under the Merger Agreement, or (iii) any action that would change in any manner the voting rights of any class of Shares (the matters referred to in the foregoing clauses (a) and (b), the “</w:t>
      </w:r>
      <w:r>
        <w:rPr>
          <w:rFonts w:ascii="Times New Roman" w:hAnsi="Times New Roman"/>
          <w:sz w:val="20"/>
          <w:u w:val="single"/>
        </w:rPr>
        <w:t>Supported Matters</w:t>
      </w:r>
      <w:r>
        <w:rPr>
          <w:rFonts w:ascii="Times New Roman" w:hAnsi="Times New Roman"/>
          <w:sz w:val="20"/>
        </w:rPr>
        <w:t xml:space="preserve">”). Notwithstanding the foregoing, (1) if the Board, acting upon the recommendation of the Special Committee, or the Special Committee has made an Adverse Recommendation Change in compliance with Section 6.02 of the Merger Agreement that has not been withdrawn or rescinded as of the date of such meeting of the stockholders of the Company, then the Voting Party shall not be required to vote or cause to be voted the Voting Shares in favor of the matters described in clause (a)(i) and (2)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The Voting Party agrees to, and agrees to cause its Controlled Affiliates to, be present, in person or by proxy, at every meeting of the stockholders of the Company at which such matters are considered and at every adjournment, recess or postponement thereof, to vote on the Supported Matters (in the manner described in this </w:t>
      </w:r>
      <w:r>
        <w:rPr>
          <w:rFonts w:ascii="Times New Roman" w:hAnsi="Times New Roman"/>
          <w:sz w:val="20"/>
          <w:u w:val="single"/>
        </w:rPr>
        <w:t>Section 4</w:t>
      </w:r>
      <w:r>
        <w:rPr>
          <w:rFonts w:ascii="Times New Roman" w:hAnsi="Times New Roman"/>
          <w:sz w:val="20"/>
        </w:rPr>
        <w:t xml:space="preserve">) so that all of the Voting Shares will be counted for purposes of determining the presence of a quorum at each such meeting, or otherwise cause the Voting Shares to be counted as present thereat for purposes of establishing a quorum at each such meeting.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 and its Controlled Affiliates. Furthermore, nothing contained in this Agreement shall require the Voting Party or its Controlled Affiliates to convert, exercise or exchange any option or convertible securities in order to obtain any underlying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Proxy Card</w:t>
      </w:r>
      <w:r>
        <w:rPr>
          <w:rFonts w:ascii="Times New Roman" w:hAnsi="Times New Roman"/>
          <w:sz w:val="20"/>
        </w:rPr>
        <w:t xml:space="preserve">. The Voting Party shall, and shall cause each Controlled Affiliate to, promptly (but in any event no later than ten (10) Business Days prior to the Company Stockholders’ Meeting) execute and deliver to the Company or the Company’s proxy solicitor (or cause the holders of record of such Person’s Shares to execute and deliver to the Company or the Company’s proxy solicitor) any proxy card or voting instructions such Person receives that is sent by the Company to its stockholders soliciting proxies with respect to any matter described in </w:t>
      </w:r>
      <w:r>
        <w:rPr>
          <w:rFonts w:ascii="Times New Roman" w:hAnsi="Times New Roman"/>
          <w:sz w:val="20"/>
          <w:u w:val="single"/>
        </w:rPr>
        <w:t>Section 4</w:t>
      </w:r>
      <w:r>
        <w:rPr>
          <w:rFonts w:ascii="Times New Roman" w:hAnsi="Times New Roman"/>
          <w:sz w:val="20"/>
        </w:rPr>
        <w:t xml:space="preserve"> which shall be voted in the manner described in </w:t>
      </w:r>
      <w:r>
        <w:rPr>
          <w:rFonts w:ascii="Times New Roman" w:hAnsi="Times New Roman"/>
          <w:sz w:val="20"/>
          <w:u w:val="single"/>
        </w:rPr>
        <w:t>Section 4</w:t>
      </w:r>
      <w:r>
        <w:rPr>
          <w:rFonts w:ascii="Times New Roman" w:hAnsi="Times New Roman"/>
          <w:sz w:val="20"/>
        </w:rPr>
        <w:t xml:space="preserve">, and such shall not be amended, withdrawn or rescinded.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No Voting Trust or Other Arrangement.</w:t>
      </w:r>
      <w:r>
        <w:rPr>
          <w:rFonts w:ascii="Times New Roman" w:hAnsi="Times New Roman"/>
          <w:sz w:val="20"/>
        </w:rPr>
        <w:t xml:space="preserve"> The Voting Party agrees that during the term of this Agreement the Voting Party will not, and will not permit any Controlled Affiliate to,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Transfer and Encumbrance</w:t>
      </w:r>
      <w:r>
        <w:rPr>
          <w:rFonts w:ascii="Times New Roman" w:hAnsi="Times New Roman"/>
          <w:sz w:val="20"/>
        </w:rPr>
        <w:t xml:space="preserve">. The Voting Party agrees that during the term of this Agreement the Voting Party will not, and will not permit any Controlled Affiliate to,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or any interest therein in violation of this </w:t>
      </w:r>
      <w:r>
        <w:rPr>
          <w:rFonts w:ascii="Times New Roman" w:hAnsi="Times New Roman"/>
          <w:sz w:val="20"/>
          <w:u w:val="single"/>
        </w:rPr>
        <w:t>Section 7</w:t>
      </w:r>
      <w:r>
        <w:rPr>
          <w:rFonts w:ascii="Times New Roman" w:hAnsi="Times New Roman"/>
          <w:sz w:val="20"/>
        </w:rPr>
        <w:t xml:space="preserve"> shall be null and void. “</w:t>
      </w:r>
      <w:r>
        <w:rPr>
          <w:rFonts w:ascii="Times New Roman" w:hAnsi="Times New Roman"/>
          <w:sz w:val="20"/>
          <w:u w:val="single"/>
        </w:rPr>
        <w:t>Permitted Transfer</w:t>
      </w:r>
      <w:r>
        <w:rPr>
          <w:rFonts w:ascii="Times New Roman" w:hAnsi="Times New Roman"/>
          <w:sz w:val="20"/>
        </w:rPr>
        <w:t xml:space="preserve">” means a Transfer by the Voting Party or any Controlled Affiliate to another Controlled Affiliate; </w:t>
      </w:r>
      <w:r>
        <w:rPr>
          <w:rFonts w:ascii="Times New Roman" w:hAnsi="Times New Roman"/>
          <w:sz w:val="20"/>
          <w:u w:val="single"/>
        </w:rPr>
        <w:t>provided</w:t>
      </w:r>
      <w:r>
        <w:rPr>
          <w:rFonts w:ascii="Times New Roman" w:hAnsi="Times New Roman"/>
          <w:sz w:val="20"/>
        </w:rPr>
        <w:t xml:space="preserve">, that, prior to and as a condition to the effectiveness of such Transfer contemplated by the foregoing clause, each Person to whom any of such Voting Shares or any interest in any of such Voting Shares is or may be transferred shall have executed and delivered to the Voting Party and the Company a counterpart of this Agreement in a form reasonably acceptable to the Voting Party and the Company pursuant to which such Controlled Affiliate shall be bound by all of the terms and provisions hereof in which case such Controlled Affiliate shall be deemed a Voting Party hereunder. No Permitted Transfer shall relieve the Voting Party of its obligations under this Agreement. Neither the Voting Party nor any of its Controlled Affiliates has entered into any agreement to Transfer any Voting Shares and no Person has a right to acquire any of the Voting Shares held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Voting Party shall, and shall use reasonable best efforts to cause its Controlled Affiliates to use their respective reasonable best efforts to, consistent with the time frames set forth in Section 6.03 of the Merger Agreement, provide information contemplated by Section 6.03(c) of the Merger Agreement to any Governmental Authority requesting such information in connection with filings or notifications under, or relating to, applicable laws (collectively, the “</w:t>
      </w:r>
      <w:r>
        <w:rPr>
          <w:rFonts w:ascii="Times New Roman" w:hAnsi="Times New Roman"/>
          <w:sz w:val="20"/>
          <w:u w:val="single"/>
        </w:rPr>
        <w:t>Regulatory Filings</w:t>
      </w:r>
      <w:r>
        <w:rPr>
          <w:rFonts w:ascii="Times New Roman" w:hAnsi="Times New Roman"/>
          <w:sz w:val="20"/>
        </w:rPr>
        <w:t xml:space="preserve">”) that are required as a result of, or pursuant to, the Merger Agreement and the related transactions, including information required or requested to be provided to any antitrust or other regulatory authorities in connection with any approvals reasonably sought in connection with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Voting Party shall, and shall cause its Controlled Affiliates to, provide to the Company all information concerning such party and its Controlled Affiliates as may be reasonably requested by the Company and customary in connection with the Proxy Statement and the Schedule 13E-3 and shall otherwise reasonably assist and cooperate with the Company in the preparation of the Proxy Statement and the Schedule 13E-3 and the resolution of any comments thereto received from the SEC in the manner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Voting Party Capacity</w:t>
      </w:r>
      <w:r>
        <w:rPr>
          <w:rFonts w:ascii="Times New Roman" w:hAnsi="Times New Roman"/>
          <w:sz w:val="20"/>
        </w:rPr>
        <w:t xml:space="preserve">. This Agreement is being entered into by the Voting Party solely in its capacity as a Beneficial Owner of, or Person with the power to direct the voting of, the Voting Shares, and nothing in this Agreement shall restrict or limit the ability of any Affiliate of the Voting Party who is a director, officer or employee of the Company to take any action in his or her capacity as a director, officer or employee of the Company, including the exercise of fiduciary duties to the Company 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Waiver of Appraisal Rights</w:t>
      </w:r>
      <w:r>
        <w:rPr>
          <w:rFonts w:ascii="Times New Roman" w:hAnsi="Times New Roman"/>
          <w:sz w:val="20"/>
        </w:rPr>
        <w:t xml:space="preserve">. The Voting Party hereby irrevocably waives, to the fullest extent permitted by applicable Law, and agrees not to assert and to cause each Controlled Affiliate not to assert any appraisal rights under Section 262 of the DGCL with respect to all Voting Shares with respect to the Merger and the transactions contemplated by the Merger Agreement. The Voting Party acknowledges and agrees that, to the extent any Voting Shares are subject to cancellation under Section 3.01(b) of the Merger Agreement immediately prior to the Effective Time, such Voting Shares shall be canceled at the Effective Time without delivery of any consideration therefor. The Voting Party agrees not to, and to cause its Affiliates not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participate in, and agrees to take or cause to be taken all actions necessary to opt out of any class in any class action with respect to, any claim, derivative or other Action by any Disinterested Stockholder, against Parent, Intermediate, Merger Sub, the Company or any of their respective successors relating to the negotiation, execution or delivery of this Agreement or the Merger Agreement or the consummation of the Merger, including any Action (a) challenging the validity of, or seeking to enjoin the operation of, any provision of this Agreement, or (b) alleging a breach of any fiduciary duty of the Board or the Special Committee in connection with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Termination</w:t>
      </w:r>
      <w:r>
        <w:rPr>
          <w:rFonts w:ascii="Times New Roman" w:hAnsi="Times New Roman"/>
          <w:sz w:val="20"/>
        </w:rPr>
        <w:t xml:space="preserve">. This Agreement shall automatically terminate without further action upon the earliest to occur of (a) the Effective Time and (b) the termination of the Merger Agreement in accordance with its terms.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11</w:t>
      </w:r>
      <w:r>
        <w:rPr>
          <w:rFonts w:ascii="Times New Roman" w:hAnsi="Times New Roman"/>
          <w:sz w:val="20"/>
        </w:rPr>
        <w:t xml:space="preserve"> shall relieve any party of liability for any Willful Breach of this Agreement occurring prior to such termination. For purposes hereof, “</w:t>
      </w:r>
      <w:r>
        <w:rPr>
          <w:rFonts w:ascii="Times New Roman" w:hAnsi="Times New Roman"/>
          <w:sz w:val="20"/>
          <w:u w:val="single"/>
        </w:rPr>
        <w:t>Willful Breach</w:t>
      </w:r>
      <w:r>
        <w:rPr>
          <w:rFonts w:ascii="Times New Roman" w:hAnsi="Times New Roman"/>
          <w:sz w:val="20"/>
        </w:rPr>
        <w:t xml:space="preserve">” means a material breach of this Agreement that is the result of a willful or deliberate act or failure to act by a party hereto that actually knows that taking such act or failure to act would result in such a material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Specific Enforcement</w:t>
      </w:r>
      <w:r>
        <w:rPr>
          <w:rFonts w:ascii="Times New Roman" w:hAnsi="Times New Roman"/>
          <w:sz w:val="20"/>
        </w:rPr>
        <w:t xml:space="preserve">.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Entire Agreement</w:t>
      </w:r>
      <w:r>
        <w:rPr>
          <w:rFonts w:ascii="Times New Roman" w:hAnsi="Times New Roman"/>
          <w:sz w:val="20"/>
        </w:rPr>
        <w:t xml:space="preserve">.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Notices</w:t>
      </w:r>
      <w:r>
        <w:rPr>
          <w:rFonts w:ascii="Times New Roman" w:hAnsi="Times New Roman"/>
          <w:sz w:val="20"/>
        </w:rPr>
        <w:t xml:space="preserve">. All notices, requests and other communications to any party hereto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to the Voting Party: </w:t>
      </w:r>
    </w:p>
    <w:p>
      <w:pPr>
        <w:pStyle w:val="TextBody"/>
        <w:bidi w:val="0"/>
        <w:spacing w:before="120" w:after="0"/>
        <w:jc w:val="left"/>
        <w:rPr>
          <w:rFonts w:ascii="Times New Roman" w:hAnsi="Times New Roman"/>
          <w:sz w:val="20"/>
        </w:rPr>
      </w:pPr>
      <w:r>
        <w:rPr>
          <w:rFonts w:ascii="Times New Roman" w:hAnsi="Times New Roman"/>
          <w:sz w:val="20"/>
        </w:rPr>
        <w:t xml:space="preserve">c/o Luther King Capital Management Corporation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120" w:after="0"/>
        <w:jc w:val="left"/>
        <w:rPr>
          <w:rFonts w:ascii="Times New Roman" w:hAnsi="Times New Roman"/>
          <w:sz w:val="20"/>
        </w:rPr>
      </w:pPr>
      <w:r>
        <w:rPr>
          <w:rFonts w:ascii="Times New Roman" w:hAnsi="Times New Roman"/>
          <w:sz w:val="20"/>
        </w:rPr>
        <w:t xml:space="preserve">(b) If to the Company or the Special Committee: </w:t>
      </w:r>
    </w:p>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party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xml:space="preserve">. This Agreement and all disputes, controversies or other Actions arising out of or relating to this Agreement or the transactions contemplated by this Agreement, including matters of validity, construction, effect, performance and remedies, shall be governed by, and construed in accordance with, the Laws of the State of Delaware, regardless of the Laws that might otherwise govern under any applicable conflict of laws principles. All Actions arising out of or relating to this Agreement shall be heard and determined in the Court of Chancery of the State of Delaware (or, if the Court of Chancery of the State of Delaware declines to accept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not to attempt to deny or defeat such jurisdiction by motion or otherwise request leave from any such court and (iv) agree not to bring any Action arising out of or relating to this Agreement or the transactions contemplated by this Agreement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HERETO CERTIFIES AND ACKNOWLEDGES THAT (i) NO REPRESENTATIVE, AGENT OR ATTORNEY OF ANY OTHER PARTY HERETO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Times New Roman" w:hAnsi="Times New Roman"/>
          <w:sz w:val="20"/>
          <w:u w:val="single"/>
        </w:rPr>
        <w:t>SECTION 15(b)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Severability</w:t>
      </w:r>
      <w:r>
        <w:rPr>
          <w:rFonts w:ascii="Times New Roman" w:hAnsi="Times New Roman"/>
          <w:sz w:val="20"/>
        </w:rPr>
        <w:t xml:space="preserve">.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Counterparts</w:t>
      </w:r>
      <w:r>
        <w:rPr>
          <w:rFonts w:ascii="Times New Roman" w:hAnsi="Times New Roman"/>
          <w:sz w:val="20"/>
        </w:rPr>
        <w:t xml:space="preserve">. This Agreement may be executed in one or more counterparts (including by electronic signature (including DocuSign),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Titles and Headings</w:t>
      </w:r>
      <w:r>
        <w:rPr>
          <w:rFonts w:ascii="Times New Roman" w:hAnsi="Times New Roman"/>
          <w:sz w:val="20"/>
        </w:rPr>
        <w:t xml:space="preserve">. The titles, captions and table of contents in this Agreement are for reference purposes only, and shall not in any way define, limit, extend or describe the scope of this Agreement or otherwise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Assignment; Successors and Assigns; Third Party Beneficiaries</w:t>
      </w:r>
      <w:r>
        <w:rPr>
          <w:rFonts w:ascii="Times New Roman" w:hAnsi="Times New Roman"/>
          <w:sz w:val="20"/>
        </w:rPr>
        <w:t xml:space="preserve">. Except as otherwise provided herein, this Agreement may not, without the prior written consent of the other party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Except as provided in the next sentence, nothing herein, express or implied, is intended to or shall confer upon any other Person any legal or equitable right, benefit or remedy of any nature whatsoever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Further Assurances</w:t>
      </w:r>
      <w:r>
        <w:rPr>
          <w:rFonts w:ascii="Times New Roman" w:hAnsi="Times New Roman"/>
          <w:sz w:val="20"/>
        </w:rPr>
        <w:t xml:space="preserve">. Each party hereto shall execute and deliver such additional documents as may be necessary to effect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Certain Adjustments</w:t>
      </w:r>
      <w:r>
        <w:rPr>
          <w:rFonts w:ascii="Times New Roman" w:hAnsi="Times New Roman"/>
          <w:sz w:val="20"/>
        </w:rPr>
        <w:t xml:space="preserve">. In the event of a stock split, stock dividend or distribution, or any change in the Company Common Stock by reason of any split-up, reverse stock split, recapitalization, combination, reclassification, exchange of shares or the like, the terms “Company Common Stock”, “Shares” and “Voting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Special Committee</w:t>
      </w:r>
      <w:r>
        <w:rPr>
          <w:rFonts w:ascii="Times New Roman" w:hAnsi="Times New Roman"/>
          <w:sz w:val="20"/>
        </w:rPr>
        <w:t xml:space="preserve">. No decision, confirmation or determination by the Company shall be made, no approval, consent or waiver by the Company shall be granted, and no other action by the Company shall be taken, in each case, with respect to matters contemplated by this Agreement, without first obtaining the prior approval of the Special Committee. Any purported action taken in violation of this </w:t>
      </w:r>
      <w:r>
        <w:rPr>
          <w:rFonts w:ascii="Times New Roman" w:hAnsi="Times New Roman"/>
          <w:sz w:val="20"/>
          <w:u w:val="single"/>
        </w:rPr>
        <w:t>Section 15(i)</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Notwithstanding any other provision of this Agreement, from and after the Effective Time, (i) the foregoing provisions of this </w:t>
      </w:r>
      <w:r>
        <w:rPr>
          <w:rFonts w:ascii="Times New Roman" w:hAnsi="Times New Roman"/>
          <w:sz w:val="20"/>
          <w:u w:val="single"/>
        </w:rPr>
        <w:t>Section 15(i)</w:t>
      </w:r>
      <w:r>
        <w:rPr>
          <w:rFonts w:ascii="Times New Roman" w:hAnsi="Times New Roman"/>
          <w:sz w:val="20"/>
        </w:rPr>
        <w:t xml:space="preserve"> shall no longer be in effect and (ii)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LUTHER KING CAPITAL MANAGEMENT CORPORATION</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Jacob D. Smith</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Principal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Voting and Support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Voting and Support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131211dex102.htm"/>
      <w:bookmarkStart w:id="7" w:name="ksd131211dex102"/>
      <w:bookmarkEnd w:id="6"/>
      <w:bookmarkEnd w:id="7"/>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LIMITED GUARANTEE </w:t>
      </w:r>
    </w:p>
    <w:p>
      <w:pPr>
        <w:pStyle w:val="TextBody"/>
        <w:bidi w:val="0"/>
        <w:spacing w:before="240" w:after="0"/>
        <w:jc w:val="left"/>
        <w:rPr>
          <w:rFonts w:ascii="Times New Roman" w:hAnsi="Times New Roman"/>
          <w:sz w:val="20"/>
        </w:rPr>
      </w:pPr>
      <w:r>
        <w:rPr>
          <w:rFonts w:ascii="Times New Roman" w:hAnsi="Times New Roman"/>
          <w:sz w:val="20"/>
        </w:rPr>
        <w:t>This LIMITED GUARANTEE, dated as of July 15, 2026 (this “</w:t>
      </w:r>
      <w:r>
        <w:rPr>
          <w:rFonts w:ascii="Times New Roman" w:hAnsi="Times New Roman"/>
          <w:sz w:val="20"/>
          <w:u w:val="single"/>
        </w:rPr>
        <w:t>Limited Guarantee</w:t>
      </w:r>
      <w:r>
        <w:rPr>
          <w:rFonts w:ascii="Times New Roman" w:hAnsi="Times New Roman"/>
          <w:sz w:val="20"/>
        </w:rPr>
        <w:t>”), is made by LKCM Headwater Investments IV, L.P., a Delaware limited partnership (the “</w:t>
      </w:r>
      <w:r>
        <w:rPr>
          <w:rFonts w:ascii="Times New Roman" w:hAnsi="Times New Roman"/>
          <w:sz w:val="20"/>
          <w:u w:val="single"/>
        </w:rPr>
        <w:t>Guarantor</w:t>
      </w:r>
      <w:r>
        <w:rPr>
          <w:rFonts w:ascii="Times New Roman" w:hAnsi="Times New Roman"/>
          <w:sz w:val="20"/>
        </w:rPr>
        <w:t>”), in favor of Distribution Solutions Group, Inc., a Delaware corporation (the “</w:t>
      </w:r>
      <w:r>
        <w:rPr>
          <w:rFonts w:ascii="Times New Roman" w:hAnsi="Times New Roman"/>
          <w:sz w:val="20"/>
          <w:u w:val="single"/>
        </w:rPr>
        <w:t>Guaranteed Party</w:t>
      </w:r>
      <w:r>
        <w:rPr>
          <w:rFonts w:ascii="Times New Roman" w:hAnsi="Times New Roman"/>
          <w:sz w:val="20"/>
        </w:rPr>
        <w:t xml:space="preserve">”). Capitalized terms used but not defined herein shall have the meanings given to such terms in the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Guarantee</w:t>
      </w:r>
      <w:r>
        <w:rPr>
          <w:rFonts w:ascii="Times New Roman" w:hAnsi="Times New Roman"/>
          <w:sz w:val="20"/>
        </w:rPr>
        <w:t>. To induce the Guaranteed Party to enter into that certain Agreement and Plan of Merger, dated as of the date hereof (as amended, restated, supplemented or otherwise modified from time to time in accordance with its terms, the “</w:t>
      </w:r>
      <w:r>
        <w:rPr>
          <w:rFonts w:ascii="Times New Roman" w:hAnsi="Times New Roman"/>
          <w:sz w:val="20"/>
          <w:u w:val="single"/>
        </w:rPr>
        <w:t>Agreement</w:t>
      </w:r>
      <w:r>
        <w:rPr>
          <w:rFonts w:ascii="Times New Roman" w:hAnsi="Times New Roman"/>
          <w:sz w:val="20"/>
        </w:rPr>
        <w:t>”), by and among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and the Guaranteed Party, pursuant to which Merger Sub shall merge with and into the Guaranteed Party (the “</w:t>
      </w:r>
      <w:r>
        <w:rPr>
          <w:rFonts w:ascii="Times New Roman" w:hAnsi="Times New Roman"/>
          <w:sz w:val="20"/>
          <w:u w:val="single"/>
        </w:rPr>
        <w:t>Merger</w:t>
      </w:r>
      <w:r>
        <w:rPr>
          <w:rFonts w:ascii="Times New Roman" w:hAnsi="Times New Roman"/>
          <w:sz w:val="20"/>
        </w:rPr>
        <w:t xml:space="preserve">”), with the Guaranteed Party continuing as the surviving corporation in the Merger, on the terms and subject to the conditions set forth in the Agreement, the Guarantor, intending to be legally bound, hereby absolutely, irrevocably and unconditionally guarantees to the Guaranteed Party the due, punctual and complete payment, performance and discharge of the obligations of Parent to pay to the Guaranteed Party: (a) the Reverse Termination Fee pursuant to Section 8.03(c) and Section 8.03(d) of the Agreement if, as and when the Reverse Termination Fee becomes payable under the Agreement, </w:t>
      </w:r>
      <w:r>
        <w:rPr>
          <w:rFonts w:ascii="Times New Roman" w:hAnsi="Times New Roman"/>
          <w:sz w:val="20"/>
          <w:u w:val="single"/>
        </w:rPr>
        <w:t>plus</w:t>
      </w:r>
      <w:r>
        <w:rPr>
          <w:rFonts w:ascii="Times New Roman" w:hAnsi="Times New Roman"/>
          <w:sz w:val="20"/>
        </w:rPr>
        <w:t xml:space="preserve"> (b) any amounts payable by Parent, Intermediate and Merger Sub to the Guaranteed Party under Section 8.03(e) of the Agreement if, as and when any such amounts become payable thereunder </w:t>
      </w:r>
      <w:r>
        <w:rPr>
          <w:rFonts w:ascii="Times New Roman" w:hAnsi="Times New Roman"/>
          <w:sz w:val="20"/>
          <w:u w:val="single"/>
        </w:rPr>
        <w:t>plus</w:t>
      </w:r>
      <w:r>
        <w:rPr>
          <w:rFonts w:ascii="Times New Roman" w:hAnsi="Times New Roman"/>
          <w:sz w:val="20"/>
        </w:rPr>
        <w:t xml:space="preserve"> (c) Parent’s reimbursement, indemnification, expense and other payment obligations under Section 6.10(e) of the Agreement that expressly survive termination of the Agreement, </w:t>
      </w:r>
      <w:r>
        <w:rPr>
          <w:rFonts w:ascii="Times New Roman" w:hAnsi="Times New Roman"/>
          <w:sz w:val="20"/>
          <w:u w:val="single"/>
        </w:rPr>
        <w:t>plus</w:t>
      </w:r>
      <w:r>
        <w:rPr>
          <w:rFonts w:ascii="Times New Roman" w:hAnsi="Times New Roman"/>
          <w:sz w:val="20"/>
        </w:rPr>
        <w:t xml:space="preserve"> (d) any monetary damages awarded in a final, non-appealable proceeding by a court of competent jurisdiction or agreed in writing by Parent to be payable by Parent, Intermediate or Merger Sub to the Guaranteed Party for any Willful Breach of the Agreement, in each case only if, as and when any such amounts become payable thereunder (clauses (a) through (d), collectively, the “</w:t>
      </w:r>
      <w:r>
        <w:rPr>
          <w:rFonts w:ascii="Times New Roman" w:hAnsi="Times New Roman"/>
          <w:sz w:val="20"/>
          <w:u w:val="single"/>
        </w:rPr>
        <w:t>Guaranteed Obligations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Limited Guarantee will expire and will have no further force or effect, and the Guaranteed Party will have no rights hereunder, upon termination of the obligations and liabilities of the Guarantor hereunder in accordance with </w:t>
      </w:r>
      <w:r>
        <w:rPr>
          <w:rFonts w:ascii="Times New Roman" w:hAnsi="Times New Roman"/>
          <w:sz w:val="20"/>
          <w:u w:val="single"/>
        </w:rPr>
        <w:t>Section 7</w:t>
      </w:r>
      <w:r>
        <w:rPr>
          <w:rFonts w:ascii="Times New Roman" w:hAnsi="Times New Roman"/>
          <w:sz w:val="20"/>
        </w:rPr>
        <w:t>. In no event shall the Guarantor’s aggregate liability hereunder in respect of the Guaranteed Obligations exceed an amount equal to $30,000,000 (such limitation on the liability with respect to the Guaranteed Obligations being herein referred to as the “</w:t>
      </w:r>
      <w:r>
        <w:rPr>
          <w:rFonts w:ascii="Times New Roman" w:hAnsi="Times New Roman"/>
          <w:sz w:val="20"/>
          <w:u w:val="single"/>
        </w:rPr>
        <w:t>Aggregate Fee Cap</w:t>
      </w:r>
      <w:r>
        <w:rPr>
          <w:rFonts w:ascii="Times New Roman" w:hAnsi="Times New Roman"/>
          <w:sz w:val="20"/>
        </w:rPr>
        <w:t xml:space="preserve">”); it being understood that this Limited Guarantee may not be enforced against the Guarantor without giving effect to the Aggregate Fee Cap (and to the provisions of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This Limited Guarantee may be enforced for money damages only. </w:t>
      </w:r>
    </w:p>
    <w:p>
      <w:pPr>
        <w:pStyle w:val="TextBody"/>
        <w:bidi w:val="0"/>
        <w:spacing w:before="240" w:after="0"/>
        <w:jc w:val="left"/>
        <w:rPr>
          <w:rFonts w:ascii="Times New Roman" w:hAnsi="Times New Roman"/>
          <w:sz w:val="20"/>
        </w:rPr>
      </w:pPr>
      <w:r>
        <w:rPr>
          <w:rFonts w:ascii="Times New Roman" w:hAnsi="Times New Roman"/>
          <w:sz w:val="20"/>
        </w:rPr>
        <w:t xml:space="preserve">If Parent fails to discharge its Guaranteed Obligations when due under the terms of the Agreement, then the Guarantor’s liabilities to the Guaranteed Party hereunder in respect of such Guaranteed Obligations shall, at the Guaranteed Party’s option, become due and payable (up to the Aggregate Fee Cap) and the Guaranteed Party may at any time and from time to time, at the Guaranteed Party’s option, take any and all actions available hereunder to collect the Guarantor’s liabilities hereunder in respect of such Guaranteed Obligations, subject to the Aggregate Fee Cap. The Guaranteed Party further acknowledges that in the event that Parent has satisfied a portion but not all of the Guaranteed Obligations, payment of the unsatisfied portion of the Guaranteed Obligations by Guarantor (or by any other Person on behalf of Guarantor) shall constitute satisfaction in full of such Guarantor’s obligations to the Guaranteed Party with respect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furtherance of the foregoing, the Guarantor acknowledges that the Guaranteed Party may, in its sole discretion, bring and prosecute a separate action or actions against the Guarantor for the full amount of the Guaranteed Obligations (subject to the Aggregate Fee Cap), regardless of whether any such action is brought against Parent or whether Parent is joined in any such action or actions.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Nature of Guarantee</w:t>
      </w:r>
      <w:r>
        <w:rPr>
          <w:rFonts w:ascii="Times New Roman" w:hAnsi="Times New Roman"/>
          <w:sz w:val="20"/>
        </w:rPr>
        <w:t xml:space="preserve">. The Guarantor’s liability hereunder is absolute, unconditional, irrevocable and continuing irrespective of any modification, amendment or waiver of or any consent to departure from the Agreement that may be agreed to by Parent. Without limiting the foregoing, the Guaranteed Party shall not be obligated to file any claim relating to the Guaranteed Obligations in the event that Parent becomes subject to a bankruptcy, reorganization or similar proceeding, and the failure of the Guaranteed Party to so file shall not affect the Guarantor’s obligations hereunder in respect of the Guaranteed Obligations. In the event that any payment hereunder is rescinded or must otherwise be, and is, returned to the Guarantor for any reason whatsoever, the Guarantor shall remain liable hereunder with respect to the Guaranteed Obligations as if such payment had not been made. This Limited Guarantee is a guarantee of payment and not of collection.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Changes in Obligations; Certain Waivers</w:t>
      </w:r>
      <w:r>
        <w:rPr>
          <w:rFonts w:ascii="Times New Roman" w:hAnsi="Times New Roman"/>
          <w:sz w:val="20"/>
        </w:rPr>
        <w:t xml:space="preserve">. The Guarantor agrees that the Guaranteed Party may, in its sole discretion, at any time and from time to time, without notice to or further consent of the Guarantor, extend the time of payment of the Guaranteed Obligations, and may also make any agreement with Parent for the extension, renewal, payment, compromise, discharge or release thereof, in whole or in part, without in any way impairing or affecting the Guarantor’s obligations under this Limited Guarantee or affecting the validity or enforceability of this Limited Guarantee. Subject to the termination of this Limited Guarantee as provided herein, the Guarantor agrees that the obligations of the Guarantor hereunder shall not be released or discharged, in whole or in part, or otherwise affected by: (a) the failure or delay on the part of the Guaranteed Party to assert any claim or demand or to enforce any right or remedy against Parent; (b) any change in the time, place or manner of payment of the Guaranteed Obligations, or any waiver, compromise, consolidation or other amendment or modification of any of the terms or provisions of the Agreement made in accordance with the terms thereof or any agreement evidencing, securing or otherwise executed in connection with the Guaranteed Obligations; (c) the addition, substitution or release of any entity or other Person now or hereafter liable with respect to the Guaranteed Obligations or otherwise interested in the transactions contemplated by the Agreement; (d) any change in the corporate existence, structure or ownership of Parent or any other Person now or hereafter liable with respect to the Guaranteed Obligations or otherwise interested in the transactions contemplated by the Agreement; or (e) any insolvency, bankruptcy, reorganization or other similar proceeding affecting Parent or any other Person now or hereafter liable with respect to the Guaranteed Obligations or otherwise interested in the transactions contemplated by the Agreement or the Equity Commitment Letter or any of their respective assets. To the fullest extent permitted by applicable Law, the Guarantor hereby expressly waives any and all rights or defenses arising by reason of any applicable Law which would otherwise require any election of remedies by the Guaranteed Party. The Guarantor waives promptness, diligence,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acceptance of this Limited Guarantee and of the Guaranteed Obligations, presentment, demand for payment, notice of non-performance, default, dishonor and protest, notice of the Guaranteed Obligations incurred and all other notices of any kind (other than notices to Parent pursuant to the Agreement and notices pursuant to this Limited Guarantee), all defenses which may be available by virtue of any valuation, stay, moratorium law or other similar applicable Law now or hereafter in effect or any right to require the marshalling of assets of Parent or any other Person now or hereafter liable with respect to the Guaranteed Obligations or otherwise interested in the transactions contemplated by the Agreement. The Guarantor acknowledges that it will receive substantial direct and indirect benefits from the transactions contemplated by the Agreement and that the waivers set forth in this Limited Guarantee are knowingly made in contemplation of such benefits. </w:t>
      </w:r>
    </w:p>
    <w:p>
      <w:pPr>
        <w:pStyle w:val="TextBody"/>
        <w:bidi w:val="0"/>
        <w:spacing w:before="240" w:after="0"/>
        <w:jc w:val="left"/>
        <w:rPr>
          <w:rFonts w:ascii="Times New Roman" w:hAnsi="Times New Roman"/>
          <w:sz w:val="20"/>
        </w:rPr>
      </w:pPr>
      <w:r>
        <w:rPr>
          <w:rFonts w:ascii="Times New Roman" w:hAnsi="Times New Roman"/>
          <w:sz w:val="20"/>
        </w:rPr>
        <w:t xml:space="preserve">The Guarantor hereby unconditionally and irrevocably waives any rights that it may now have or hereafter acquire against Parent that arise from the existence, payment, performance, or enforcement of the Guarantor’s obligations under or in respect of this Limited Guarantee, including, without limitation, any right of subrogation, reimbursement, exoneration, contribution or indemnification and any right to participate in any claim or remedy of the Guaranteed Party against Parent, whether or not such claim, remedy or right arises in equity or under contract, statute or common law, including, without limitation, the right to take or receive from Parent, directly or indirectly, in cash or other property or by set-off or in any other manner, payment or security on account of such claim, remedy or right, and the Guarantor shall not exercise any such rights unless and until all amounts payable by the Guarantor under this Limited Guarantee (which shall be subject to the Aggregate Fee Cap) shall have been paid in full in immediately available funds. If any amount shall be paid to the Guarantor in violation of the immediately preceding sentence at any time prior to the payment in full in immediately available funds of all amounts payable by the Guarantor under this Limited Guarantee (which shall be subject to the Aggregate Fee Cap), such amount shall be received and held in trust for the benefit of the Guaranteed Party, shall be segregated from other property and funds of the Guarantor and shall forthwith be promptly paid or delivered to the Guaranteed Party in the same form as so received (with any necessary endorsement or assignment) to be credited and applied to all amounts payable by the Guarantor under this Limited Guarantee (which shall be subject to the Aggregate Fee Cap). Notwithstanding anything to the contrary contained in this Limited Guarantee or otherwise, the Guaranteed Party hereby agrees that: (i) to the extent Parent is relieved of the Guaranteed Obligations under the Agreement, the Guarantor shall be similarly relieved of its corresponding payment obligations under this Limited Guarantee to the extent thereof; (ii) the Guarantor shall have all defenses to its obligations under this Limited Guarantee (which shall be subject to the Aggregate Fee Cap) that would be available to Parent, Intermediate, Merger Sub or any assignee of Parent, Intermediate or Merger Sub under the Agreement with respect to the Guaranteed Obligations, as well as any defense in respect of fraud by the Guaranteed Party in connection with this Limited Guarantee or the Agreement; and (iii) any failure by the Guaranteed Party to comply with the terms of the Agreement that would relieve Parent of its payment, reimbursement or indemnification obligations under the Agreement shall likewise relieve the Guarantor of its corresponding obligations under this Limited Guarantee; </w:t>
      </w:r>
      <w:r>
        <w:rPr>
          <w:rFonts w:ascii="Times New Roman" w:hAnsi="Times New Roman"/>
          <w:sz w:val="20"/>
          <w:u w:val="single"/>
        </w:rPr>
        <w:t>provided</w:t>
      </w:r>
      <w:r>
        <w:rPr>
          <w:rFonts w:ascii="Times New Roman" w:hAnsi="Times New Roman"/>
          <w:sz w:val="20"/>
        </w:rPr>
        <w:t xml:space="preserve"> that the Guarantor shall not assert, and hereby irrevocably waives, any defense based on lack of funds, failure to obtain financing (including any debt financing), insolvency, bankruptcy or similar proceedings involving Parent, Intermediate, Merger Sub or any Equity Commitment Party, lack of authorization, or any suretyship or similar defense waived in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Guarantor hereby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(i) it is a duly organized and validly existing limited partnership under the Laws of the State of Delaware and has all requisite limited partnership power and authority to execute, deliver and perform this Limited Guarantee, and the execution, delivery and performance of this Limited Guarantee have been duly authorized by all necessary action and do not contravene any provision of the Guarantor’s partnership agreement or other organizational documents or any applicable Law, regulation, rule, decree, Governmental Order or contractual restriction binding on the Guarantor or its assets; </w:t>
      </w:r>
    </w:p>
    <w:p>
      <w:pPr>
        <w:pStyle w:val="TextBody"/>
        <w:bidi w:val="0"/>
        <w:spacing w:before="120" w:after="0"/>
        <w:jc w:val="left"/>
        <w:rPr>
          <w:rFonts w:ascii="Times New Roman" w:hAnsi="Times New Roman"/>
          <w:sz w:val="20"/>
        </w:rPr>
      </w:pPr>
      <w:r>
        <w:rPr>
          <w:rFonts w:ascii="Times New Roman" w:hAnsi="Times New Roman"/>
          <w:sz w:val="20"/>
        </w:rPr>
        <w:t xml:space="preserve">(ii) all consents, approvals, authorizations, permits of, filings with and notifications to, any Governmental Authority necessary for the due execution, delivery and performance of this Limited Guarantee by the Guarantor have been obtained or made and all conditions thereof have been duly complied with in all material respects by the Guarantor, and no other action by, and no notice to or filing with, any Governmental Authority or regulatory body is required in connection with the execution, delivery or performance of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(iii) assuming due execution and delivery of the Agreement by all parties thereto and this Limited Guarantee by the other parties hereto, this Limited Guarantee constitutes a legal, valid and binding obligation of the Guarantor enforceable against the Guarantor in accordance with its terms, subject to: (A) the effects of bankruptcy, insolvency, fraudulent conveyance, reorganization, moratorium or other similar laws affecting creditors’ rights generally, and (B) general equitable principles (whether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(iv) the Guarantor has, and will maintain throughout the term of this Limited Guarantee, sufficient uncalled capital commitments or other available funds to satisfy all of its obligations under this Limited Guarantee; and </w:t>
      </w:r>
    </w:p>
    <w:p>
      <w:pPr>
        <w:pStyle w:val="TextBody"/>
        <w:bidi w:val="0"/>
        <w:spacing w:before="120" w:after="0"/>
        <w:jc w:val="left"/>
        <w:rPr>
          <w:rFonts w:ascii="Times New Roman" w:hAnsi="Times New Roman"/>
          <w:sz w:val="20"/>
        </w:rPr>
      </w:pPr>
      <w:r>
        <w:rPr>
          <w:rFonts w:ascii="Times New Roman" w:hAnsi="Times New Roman"/>
          <w:sz w:val="20"/>
        </w:rPr>
        <w:t xml:space="preserve">(v) the Guarantor has received all necessary internal approvals required to fund the Guaranteed Obligations when required under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(b) The Guaranteed Party hereby represents and warrants that: </w:t>
      </w:r>
    </w:p>
    <w:p>
      <w:pPr>
        <w:pStyle w:val="TextBody"/>
        <w:bidi w:val="0"/>
        <w:spacing w:before="120" w:after="0"/>
        <w:jc w:val="left"/>
        <w:rPr>
          <w:rFonts w:ascii="Times New Roman" w:hAnsi="Times New Roman"/>
          <w:sz w:val="20"/>
        </w:rPr>
      </w:pPr>
      <w:r>
        <w:rPr>
          <w:rFonts w:ascii="Times New Roman" w:hAnsi="Times New Roman"/>
          <w:sz w:val="20"/>
        </w:rPr>
        <w:t xml:space="preserve">(i) the execution, delivery and performance of this Limited Guarantee have been duly authorized by all necessary action and do not contravene any provision of the Guaranteed Party’s charter, bylaws (or equivalent) or any applicable Law or contractual restriction applicable to or binding on such Guaranteed Party or its assets; </w:t>
      </w:r>
    </w:p>
    <w:p>
      <w:pPr>
        <w:pStyle w:val="TextBody"/>
        <w:bidi w:val="0"/>
        <w:spacing w:before="120" w:after="0"/>
        <w:jc w:val="left"/>
        <w:rPr>
          <w:rFonts w:ascii="Times New Roman" w:hAnsi="Times New Roman"/>
          <w:sz w:val="20"/>
        </w:rPr>
      </w:pPr>
      <w:r>
        <w:rPr>
          <w:rFonts w:ascii="Times New Roman" w:hAnsi="Times New Roman"/>
          <w:sz w:val="20"/>
        </w:rPr>
        <w:t xml:space="preserve">(ii) all consents, approvals, authorizations, permits of, filings with and notifications to, any Governmental Authority necessary for the due execution, delivery and performance of this Limited Guarantee by the Guaranteed Party have been obtained or made and all conditions thereof have been duly complied with in all material respects, and no other action by, and no notice to or filing with, any Governmental Authority or regulatory body is required in connection with the execution, delivery or performance of this Limited Guarantee;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assuming due execution and delivery of the Agreement by all parties thereto and this Limited Guarantee by the other parties hereto, this Limited Guarantee constitutes a legal, valid and binding obligation of the Guaranteed Party enforceable against the Guaranteed Party in accordance with its terms, subject to: (A) the effects of bankruptcy, insolvency, fraudulent conveyance, reorganization, moratorium or other similar laws affecting creditors’ rights generally, and (B) general equitable principles (whether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Assignment; Successors</w:t>
      </w:r>
      <w:r>
        <w:rPr>
          <w:rFonts w:ascii="Times New Roman" w:hAnsi="Times New Roman"/>
          <w:sz w:val="20"/>
        </w:rPr>
        <w:t xml:space="preserve">. Neither the Guarantor nor the Guaranteed Party may assign or delegate its rights, interests or obligations hereunder to any other Person (except by operation of applicable Law) without the prior written consent of the other party hereto;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the Guarantor may assign or delegate all or part of its rights, interests and obligations hereunder, without the prior written consent of the Guaranteed Party, to (a) any Affiliate of the Guarantor, (b) any co-investor, or (c) any entity managed or otherwise controlled by or under common control with the Guarantor, in each case, that expressly agrees to assume the Guarantor’s obligations hereunder;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sz w:val="20"/>
        </w:rPr>
        <w:t xml:space="preserve">, that (i) any such assignment shall not relieve the Guarantor of its obligations hereunder, (ii) the Guarantor and Parent shall give written notice to the Guaranteed Party of any such assignment prior to Closing promptly after such assignment is effected (and in any event no later than two (2) Business Days thereafter) and (iii) any such assignment that would reasonably be expected to prevent, materially impair or materially delay payment of the Guaranteed Obligations when due shall be void ab initio.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120" w:after="0"/>
        <w:jc w:val="left"/>
        <w:rPr>
          <w:rFonts w:ascii="Times New Roman" w:hAnsi="Times New Roman"/>
          <w:sz w:val="20"/>
        </w:rPr>
      </w:pPr>
      <w:r>
        <w:rPr>
          <w:rFonts w:ascii="Times New Roman" w:hAnsi="Times New Roman"/>
          <w:sz w:val="20"/>
        </w:rPr>
        <w:t xml:space="preserve">if to the Guarantor: </w:t>
      </w:r>
    </w:p>
    <w:p>
      <w:pPr>
        <w:pStyle w:val="TextBody"/>
        <w:bidi w:val="0"/>
        <w:spacing w:before="120" w:after="0"/>
        <w:jc w:val="left"/>
        <w:rPr>
          <w:rFonts w:ascii="Times New Roman" w:hAnsi="Times New Roman"/>
          <w:sz w:val="20"/>
        </w:rPr>
      </w:pPr>
      <w:r>
        <w:rPr>
          <w:rFonts w:ascii="Times New Roman" w:hAnsi="Times New Roman"/>
          <w:sz w:val="20"/>
        </w:rPr>
        <w:t xml:space="preserve">LKCM Headwater Investments IV, L.P.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240" w:after="0"/>
        <w:jc w:val="left"/>
        <w:rPr>
          <w:rFonts w:ascii="Times New Roman" w:hAnsi="Times New Roman"/>
          <w:sz w:val="20"/>
        </w:rPr>
      </w:pPr>
      <w:r>
        <w:rPr>
          <w:rFonts w:ascii="Times New Roman" w:hAnsi="Times New Roman"/>
          <w:sz w:val="20"/>
        </w:rPr>
        <w:t xml:space="preserve">if to the Guaranteed Party: </w:t>
      </w:r>
    </w:p>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Continuing Guarantee</w:t>
      </w:r>
      <w:r>
        <w:rPr>
          <w:rFonts w:ascii="Times New Roman" w:hAnsi="Times New Roman"/>
          <w:sz w:val="20"/>
        </w:rPr>
        <w:t xml:space="preserve">. This Limited Guarantee is a continuing guarantee and shall remain in full force and effect until the Guaranteed Obligations have been indefeasibly paid in full (subject to the Aggregate Fee Cap). Notwithstanding the foregoing, or anything express or implied in this Limited Guarantee, this Limited Guarantee shall automatically terminate and the Guarantor shall have no further obligations under or in connection with this Limited Guarantee upon the earliest to occur of: </w:t>
      </w:r>
    </w:p>
    <w:p>
      <w:pPr>
        <w:pStyle w:val="TextBody"/>
        <w:bidi w:val="0"/>
        <w:spacing w:before="120" w:after="0"/>
        <w:jc w:val="left"/>
        <w:rPr>
          <w:rFonts w:ascii="Times New Roman" w:hAnsi="Times New Roman"/>
          <w:sz w:val="20"/>
        </w:rPr>
      </w:pPr>
      <w:r>
        <w:rPr>
          <w:rFonts w:ascii="Times New Roman" w:hAnsi="Times New Roman"/>
          <w:sz w:val="20"/>
        </w:rPr>
        <w:t xml:space="preserve">(a) the funding of the Commitment (as defined in the Equity Commitment Letter) in full and the consummation of the Closing in accordance with the Agreement, including payment in full of all amounts required to be paid by Parent, Intermediate or Merger Sub in accordance with the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consummation of the Closing in accordance with the terms of the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the Agreement is terminated in accordance with its terms, the date that is two (2) months after such termination;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if prior to the end of such two (2)-month period the Guaranteed Party shall have commenced any litigation or proceeding in respect of a claim for payment of the Guaranteed Obligations or concerning the enforcement of this Limited Guarantee against the Guarantor, this Limited Guarantee shall terminate upon the earliest to occur of (x) the consummation of the Closing in accordance with the terms of the Agreement, including payment of the amounts required to be paid by Parent, Intermediate or Merger Sub at the Closing in accordance with the Agreement, (y) a final, non-appealable resolution by a court of competent jurisdiction of such litigation or proceeding and payment of Guarantor’s Guaranteed Obligations and (z) a written agreement between the Guarantor and the Guaranteed Party terminating the obligations and liabilities of the Guarantor pursuant to this Limited Guarantee; and </w:t>
      </w:r>
    </w:p>
    <w:p>
      <w:pPr>
        <w:pStyle w:val="TextBody"/>
        <w:bidi w:val="0"/>
        <w:spacing w:before="120" w:after="0"/>
        <w:jc w:val="left"/>
        <w:rPr>
          <w:rFonts w:ascii="Times New Roman" w:hAnsi="Times New Roman"/>
          <w:sz w:val="20"/>
        </w:rPr>
      </w:pPr>
      <w:r>
        <w:rPr>
          <w:rFonts w:ascii="Times New Roman" w:hAnsi="Times New Roman"/>
          <w:sz w:val="20"/>
        </w:rPr>
        <w:t xml:space="preserve">(d) the irrevocable payment and performance in full of all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express or implied in this Limited Guarantee or otherwise, in the event that the Guaranteed Party or any of its Affiliates acting at the express written direction of the Guaranteed Party with the prior approval of the Special Committee asserts in any litigation or other proceeding (a) that the provisions of </w:t>
      </w:r>
      <w:r>
        <w:rPr>
          <w:rFonts w:ascii="Times New Roman" w:hAnsi="Times New Roman"/>
          <w:sz w:val="20"/>
          <w:u w:val="single"/>
        </w:rPr>
        <w:t>Section 1</w:t>
      </w:r>
      <w:r>
        <w:rPr>
          <w:rFonts w:ascii="Times New Roman" w:hAnsi="Times New Roman"/>
          <w:sz w:val="20"/>
        </w:rPr>
        <w:t xml:space="preserve"> limiting the Guarantor’s liability with respect to the Guaranteed Obligations to the Aggregate Fee Cap or the provisions of this </w:t>
      </w:r>
      <w:r>
        <w:rPr>
          <w:rFonts w:ascii="Times New Roman" w:hAnsi="Times New Roman"/>
          <w:sz w:val="20"/>
          <w:u w:val="single"/>
        </w:rPr>
        <w:t>Section 7</w:t>
      </w:r>
      <w:r>
        <w:rPr>
          <w:rFonts w:ascii="Times New Roman" w:hAnsi="Times New Roman"/>
          <w:sz w:val="20"/>
        </w:rPr>
        <w:t xml:space="preserve"> or </w:t>
      </w:r>
      <w:r>
        <w:rPr>
          <w:rFonts w:ascii="Times New Roman" w:hAnsi="Times New Roman"/>
          <w:sz w:val="20"/>
          <w:u w:val="single"/>
        </w:rPr>
        <w:t>Section 8</w:t>
      </w:r>
      <w:r>
        <w:rPr>
          <w:rFonts w:ascii="Times New Roman" w:hAnsi="Times New Roman"/>
          <w:sz w:val="20"/>
        </w:rPr>
        <w:t xml:space="preserve"> are illegal, invalid or unenforceable in whole or in part, (b) that the Guarantor is liable in respect of this Limited Guarantee in excess of or to a greater extent than the Aggregate Fee Cap, or (c) any theory of liability against any Non-Recourse Party (as defined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8</w:t>
      </w:r>
      <w:r>
        <w:rPr>
          <w:rFonts w:ascii="Times New Roman" w:hAnsi="Times New Roman"/>
          <w:sz w:val="20"/>
        </w:rPr>
        <w:t xml:space="preserve">) with respect to this Limited Guarantee, the Agreement, the Equity Commitment Letter, any other agreement or instrument delivered in connection with this Limited Guarantee or the Agreement, or the transactions contemplated hereby or thereby, other than any Retained Claims (as defined in </w:t>
      </w:r>
      <w:r>
        <w:rPr>
          <w:rFonts w:ascii="Times New Roman" w:hAnsi="Times New Roman"/>
          <w:sz w:val="20"/>
          <w:u w:val="single"/>
        </w:rPr>
        <w:t>Section 8</w:t>
      </w:r>
      <w:r>
        <w:rPr>
          <w:rFonts w:ascii="Times New Roman" w:hAnsi="Times New Roman"/>
          <w:sz w:val="20"/>
        </w:rPr>
        <w:t xml:space="preserve">) asserted against the Guarantor, Parent, Intermediate or Merger Sub, as applicable, then: (i) the obligations of the Guarantor under or in connection with this Limited Guarantee shall terminate automatically </w:t>
      </w:r>
      <w:r>
        <w:rPr>
          <w:rFonts w:ascii="Times New Roman" w:hAnsi="Times New Roman"/>
          <w:i/>
          <w:sz w:val="20"/>
        </w:rPr>
        <w:t>ab</w:t>
      </w:r>
      <w:r>
        <w:rPr>
          <w:rFonts w:ascii="Times New Roman" w:hAnsi="Times New Roman"/>
          <w:sz w:val="20"/>
        </w:rPr>
        <w:t xml:space="preserve"> </w:t>
      </w:r>
      <w:r>
        <w:rPr>
          <w:rFonts w:ascii="Times New Roman" w:hAnsi="Times New Roman"/>
          <w:i/>
          <w:sz w:val="20"/>
        </w:rPr>
        <w:t>initio</w:t>
      </w:r>
      <w:r>
        <w:rPr>
          <w:rFonts w:ascii="Times New Roman" w:hAnsi="Times New Roman"/>
          <w:sz w:val="20"/>
        </w:rPr>
        <w:t xml:space="preserve"> and be null and void; (ii) if the Guarantor has previously made any payments under or in connection with this Limited Guarantee, it shall be entitled to recover and retain such payments, and (iii) neither the Guarantor nor any other Non-Recourse Party shall have any liability to the Guaranteed Party or any other Person under or in connection with this Limited Guarantee, the Agreement, the Equity Commitment Letter, any other agreement or instrument delivered in connection with this Limited Guarantee or the Agreement, or the transactions contemplated hereby or thereby. No assertion by any public stockholder of the Guaranteed Party, any derivative plaintiff, any Governmental Authority, any director, officer or Representative of the Guaranteed Party acting in an individual capacity, or any Person not acting at the express written direction of the Guaranteed Party with the prior written approval of the Special Committee shall terminate, impair or otherwise affect the obligations of the Guarantor under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Recourse</w:t>
      </w:r>
      <w:r>
        <w:rPr>
          <w:rFonts w:ascii="Times New Roman" w:hAnsi="Times New Roman"/>
          <w:sz w:val="20"/>
        </w:rPr>
        <w:t xml:space="preserve">. The Guaranteed Party acknowledges and agrees that the sole assets of Parent are cash in a </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amount (less than $1,000) and its rights under the Agreement, the Equity Commitment Letter and the agreements contemplated thereby and that no additional funds are expected to be contributed to Parent unless and until the Closing occurs under the Agreement. By its acceptance of the benefits of this Limited Guarantee, the Guaranteed Party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no Person other than the Guarantor shall have any obligations under or in connection with this Limited Guarantee notwithstanding the fact that the Guarantor may be a limited partnership; </w:t>
      </w:r>
    </w:p>
    <w:p>
      <w:pPr>
        <w:pStyle w:val="TextBody"/>
        <w:bidi w:val="0"/>
        <w:spacing w:before="120" w:after="0"/>
        <w:jc w:val="left"/>
        <w:rPr>
          <w:rFonts w:ascii="Times New Roman" w:hAnsi="Times New Roman"/>
          <w:sz w:val="20"/>
        </w:rPr>
      </w:pPr>
      <w:r>
        <w:rPr>
          <w:rFonts w:ascii="Times New Roman" w:hAnsi="Times New Roman"/>
          <w:sz w:val="20"/>
        </w:rPr>
        <w:t xml:space="preserve">(b) the Guarantor shall have no obligations under or in connection with this Limited Guarantee except as expressly provided by this Limited Guarantee; and </w:t>
      </w:r>
    </w:p>
    <w:p>
      <w:pPr>
        <w:pStyle w:val="TextBody"/>
        <w:bidi w:val="0"/>
        <w:spacing w:before="120" w:after="0"/>
        <w:jc w:val="left"/>
        <w:rPr>
          <w:rFonts w:ascii="Times New Roman" w:hAnsi="Times New Roman"/>
          <w:sz w:val="20"/>
        </w:rPr>
      </w:pPr>
      <w:r>
        <w:rPr>
          <w:rFonts w:ascii="Times New Roman" w:hAnsi="Times New Roman"/>
          <w:sz w:val="20"/>
        </w:rPr>
        <w:t xml:space="preserve">(c) no personal liability shall attach to, and no recourse shall be had or sought by the Guaranteed Party, any of its Affiliates or any Person purporting to claim by or through the Guaranteed Party or for the benefit of the Guaranteed Party under any theory of liability (including without limitation by attempting to pierce a corporate, limited liability company or partnership veil, by attempting to compel Parent to enforce any rights that it may have against any Person, by attempting to enforce any assessment, or by attempting to enforce any purported right at Law or in equity, whether sounding in contract, tort, statute or otherwise) against, any Non-Recourse Party (as hereinafter defined) in any way under or in connection with this Limited Guarantee, the Agreement, the Equity Commitment Letter, the Confidentiality Agreement, any other agreement or instrument delivered in connection with this Limited Guarantee or the Agreement, or the transactions contemplated hereby or thereby (whether at Law or in equity, whether sounding in contract, tort, statute or otherwise), except that for purposes of this </w:t>
      </w:r>
      <w:r>
        <w:rPr>
          <w:rFonts w:ascii="Times New Roman" w:hAnsi="Times New Roman"/>
          <w:sz w:val="20"/>
          <w:u w:val="single"/>
        </w:rPr>
        <w:t>clause (c)</w:t>
      </w:r>
      <w:r>
        <w:rPr>
          <w:rFonts w:ascii="Times New Roman" w:hAnsi="Times New Roman"/>
          <w:sz w:val="20"/>
        </w:rPr>
        <w:t xml:space="preserve"> the Guaranteed Party may assert claims: (i) against the Guarantor (A) under, and pursuant to the terms of, this Limited Guarantee (subject to the Aggregate Fee Cap) following a valid termination of the Agreement in accordance with the terms thereof and (B) seeking specific performance of the terms of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Letter pursuant to and subject to the limitations of Section 5(b) of the Equity Commitment Letter and Section 9.07 of the Agreement; (ii) against Parent, Intermediate or Merger Sub in accordance with and pursuant to the terms of the Agreement; (iii) against Sponsor in accordance with and pursuant to the terms of the Support Agreement; and (iv) against Sponsor under the Confidentiality Agreement, subject to the terms and conditions therein (the claims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collectively, the “</w:t>
      </w:r>
      <w:r>
        <w:rPr>
          <w:rFonts w:ascii="Times New Roman" w:hAnsi="Times New Roman"/>
          <w:sz w:val="20"/>
          <w:u w:val="single"/>
        </w:rPr>
        <w:t>Retained Claims</w:t>
      </w:r>
      <w:r>
        <w:rPr>
          <w:rFonts w:ascii="Times New Roman" w:hAnsi="Times New Roman"/>
          <w:sz w:val="20"/>
        </w:rPr>
        <w:t xml:space="preserve">”). Nothing contained in this </w:t>
      </w:r>
      <w:r>
        <w:rPr>
          <w:rFonts w:ascii="Times New Roman" w:hAnsi="Times New Roman"/>
          <w:sz w:val="20"/>
          <w:u w:val="single"/>
        </w:rPr>
        <w:t>Section 8</w:t>
      </w:r>
      <w:r>
        <w:rPr>
          <w:rFonts w:ascii="Times New Roman" w:hAnsi="Times New Roman"/>
          <w:sz w:val="20"/>
        </w:rPr>
        <w:t xml:space="preserve"> shall limit or impair the Guaranteed Party’s right to enforce this Limited Guarantee, the Equity Commitment Letter, the Agreement or any judgment or order entered in connection therewith. </w:t>
      </w:r>
    </w:p>
    <w:p>
      <w:pPr>
        <w:pStyle w:val="TextBody"/>
        <w:bidi w:val="0"/>
        <w:spacing w:before="240" w:after="0"/>
        <w:jc w:val="left"/>
        <w:rPr>
          <w:rFonts w:ascii="Times New Roman" w:hAnsi="Times New Roman"/>
          <w:sz w:val="20"/>
        </w:rPr>
      </w:pPr>
      <w:r>
        <w:rPr>
          <w:rFonts w:ascii="Times New Roman" w:hAnsi="Times New Roman"/>
          <w:sz w:val="20"/>
        </w:rPr>
        <w:t>As used herein, the term “</w:t>
      </w:r>
      <w:r>
        <w:rPr>
          <w:rFonts w:ascii="Times New Roman" w:hAnsi="Times New Roman"/>
          <w:sz w:val="20"/>
          <w:u w:val="single"/>
        </w:rPr>
        <w:t>Non-Recourse Parties</w:t>
      </w:r>
      <w:r>
        <w:rPr>
          <w:rFonts w:ascii="Times New Roman" w:hAnsi="Times New Roman"/>
          <w:sz w:val="20"/>
        </w:rPr>
        <w:t xml:space="preserve">” shall mean, collectively, Parent, Intermediate, Merger Sub, the Guarantor, and any of their respective former, current or future equity holders, controlling persons, directors, officers, employees, agents, general or limited partners, managers, management companies, members, stockholders, other Representatives, financing sources and prospective financing sources, Affiliates or assignees and any and all former, current or future equity holders, controlling persons, directors, officers, employees, agents, general or limited partners, managers, management companies, members, stockholders, other Representatives, financing sources and prospective financing sources, Affiliates or assignees of any of the foregoing, and any and all former, current or future estates, heirs, executors, administrators, trustees, successors or assigns of any of the foregoing. The Guaranteed Party hereby covenants and agrees that it shall not, and it shall cause its Affiliates not to, institute any proceeding or bring any claim in any way under or in connection with this Limited Guarantee, the Agreement, any other agreement or instrument delivered in connection with this Limited Guarantee or the Agreement (including, without limitation, the Equity Commitment Letter) or the transactions contemplated hereby or thereby (whether at Law or in equity, whether sounding in contract, tort, statute or otherwise) against any Non-Recourse Party, other than Parent, Intermediate, Merger Sub, the Guarantor or any Person against whom a Retained Claim may expressly be asserted. Other than the other Non-Recourse Parties, no Person other than the Guarantor and the Guaranteed Party shall have any rights or remedies under or in connection with this Limited Guarantee or the transactions contemplated hereby. Notwithstanding anything to the contrary herein, nothing in this Limited Guarantee, including the definition of Non-Recourse Parties, shall limit, impair or otherwise affect any rights or remedies of the Guaranteed Party or any of its Subsidiaries under the Credit Agreement or the Credit Agreement Amendment in their capacities as borrowers, guarantors, grantors or other loan parties thereunder.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Acknowledgement</w:t>
      </w:r>
      <w:r>
        <w:rPr>
          <w:rFonts w:ascii="Times New Roman" w:hAnsi="Times New Roman"/>
          <w:sz w:val="20"/>
        </w:rPr>
        <w:t xml:space="preserve">. For the avoidance of doubt, the remedies available to the Guaranteed Party under Section 9.07 of the Agreement and the Equity Commitment Letter shall be in addition to any other remedy to which the Guaranteed Party is entitled, and the election to pursue any injunction or specific performance under Section 9.07 of the Agreement and/or the Equity Commitment Letter shall not restrict, impair or otherwise limit the Guaranteed Party from, in the alternative, subject in all cases to the terms of the Agreement, terminating the Agreement and collecting the Guaranteed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limiting the ability of the Guaranteed Party to seek both remedies prior to the time at which the Agreement is validly terminated at which point the Guaranteed Party may only seek payment of any then-payable Guaranteed Obligations (subject to the Aggregate Fee Cap), and under no circumstances shall the Guaranteed Party be permitted or entitled to receive both a grant of specific performance under Section 9.07 of the Agreement that results in the occurrence of the Closing, on the one hand, and the payment of the Reverse Termination Fee,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LIMITED GUARANTEE AND ALL DISPUTES, CONTROVERSIES OR OTHER ACTIONS ARISING OUT OF OR RELATING TO THIS LIMITED GUARANTEE OR ALL OF THE RETAINED CLAIMS, INCLUDING MATTERS OF VALIDITY, CONSTRUCTION, EFFECT, PERFORMANCE AND REMEDIES, SHALL BE GOVERNED BY, AND CONSTRUED IN ACCORDANCE WITH, THE LAWS OF THE STATE OF DELAWARE APPLICABLE TO CONTRACTS EXECUTED IN AND TO BE PERFORMED ENTIRELY WITHIN THAT STATE, REGARDLESS OF THE LAWS THAT MIGHT OTHERWISE GOVERN UNDER ANY APPLICABLE CONFLICT OF LAWS PRINCIPLES. </w:t>
      </w:r>
    </w:p>
    <w:p>
      <w:pPr>
        <w:pStyle w:val="TextBody"/>
        <w:bidi w:val="0"/>
        <w:spacing w:before="120" w:after="0"/>
        <w:jc w:val="left"/>
        <w:rPr>
          <w:rFonts w:ascii="Times New Roman" w:hAnsi="Times New Roman"/>
          <w:sz w:val="20"/>
        </w:rPr>
      </w:pPr>
      <w:r>
        <w:rPr>
          <w:rFonts w:ascii="Times New Roman" w:hAnsi="Times New Roman"/>
          <w:sz w:val="20"/>
        </w:rPr>
        <w:t xml:space="preserve">(b) All Actions arising out of or relating to this Limited Guarantee and all Retained Claims shall be heard and determined in the Court of Chancery of the State of Delaware (or, if the Court of Chancery of the State of Delaware declines to accept 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such jurisdiction by motion or otherwise request for leave from any such court and (iv) agree to not bring any Action arising out of or relating to this Limited Guarantee and all Retained Claims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sz w:val="20"/>
          <w:u w:val="single"/>
        </w:rPr>
        <w:t>Section 10(b)</w:t>
      </w:r>
      <w:r>
        <w:rPr>
          <w:rFonts w:ascii="Times New Roman" w:hAnsi="Times New Roman"/>
          <w:sz w:val="20"/>
        </w:rPr>
        <w:t xml:space="preserve"> shall not constitute general consents to service of process in the State of Delaware and shall have no effect for any purpose except as provided in this paragraph and shall not be deemed to confer rights on any Person other than the parties hereto. Each of the parties hereto hereby consents to process being served by any party to this Limited Guarantee in any Retained Claim by the delivery of a copy thereof in accordance with the provisions of </w:t>
      </w:r>
      <w:r>
        <w:rPr>
          <w:rFonts w:ascii="Times New Roman" w:hAnsi="Times New Roman"/>
          <w:sz w:val="20"/>
          <w:u w:val="single"/>
        </w:rPr>
        <w:t>Section 6</w:t>
      </w:r>
      <w:r>
        <w:rPr>
          <w:rFonts w:ascii="Times New Roman" w:hAnsi="Times New Roman"/>
          <w:sz w:val="20"/>
        </w:rPr>
        <w:t xml:space="preserve"> (other than by electronic mail) along with a notification that service of process is being served in conformance with this </w:t>
      </w:r>
      <w:r>
        <w:rPr>
          <w:rFonts w:ascii="Times New Roman" w:hAnsi="Times New Roman"/>
          <w:sz w:val="20"/>
          <w:u w:val="single"/>
        </w:rPr>
        <w:t>Section 10</w:t>
      </w:r>
      <w:r>
        <w:rPr>
          <w:rFonts w:ascii="Times New Roman" w:hAnsi="Times New Roman"/>
          <w:sz w:val="20"/>
        </w:rPr>
        <w:t xml:space="preserve">. The parties hereto agree that a final judgment in any such Action shall be conclusive and may be enforced in other jurisdictions by suit on the judgment or in any other manner provided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the foregoing shall restrict any party’s rights to seek any post-judgment relief regarding, or any appeal from, a final trial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LIMITED GUARANTEE AND ALL RETAINED CLAIMS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LIMITED GUARANTEE OR ALL OF THE RETAINED CLAIMS.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LIMITED GUARANTEE BY, AMONG OTHER THINGS, THE MUTUAL WAIVER AND CERTIFICATIONS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Counterparts</w:t>
      </w:r>
      <w:r>
        <w:rPr>
          <w:rFonts w:ascii="Times New Roman" w:hAnsi="Times New Roman"/>
          <w:sz w:val="20"/>
        </w:rPr>
        <w:t xml:space="preserve">. This Limited Guarantee shall not be effective until it has been executed and delivered by all parties hereto. This Limited Guarantee may be executed by electronic transmission in .pdf format, and in one or more counterparts, and by the different parties hereto in separate counterparts, each of which when executed shall be deemed to be an original but all of which taken together shall constitute one and the same agreement.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Third Party Beneficiaries</w:t>
      </w:r>
      <w:r>
        <w:rPr>
          <w:rFonts w:ascii="Times New Roman" w:hAnsi="Times New Roman"/>
          <w:sz w:val="20"/>
        </w:rPr>
        <w:t xml:space="preserve">. This Limited Guarantee shall be binding upon and inure solely to the benefit of and be enforceable by the parties hereto and their respective successors and permitted assigns, and nothing express or implied in this Limited Guarantee is intended to, or shall, confer upon any other Person any benefits, rights or remedies under or by reason of, or any rights to enforce or cause the Guaranteed Party to enforce, the obligations set forth herein; except that as a material aspect of this Limited Guarantee the parties intend that all Non-Recourse Parties other than the Guarantor shall be, and such Non-Recourse Parties are, intended third party beneficiaries of this Limited Guarantee who may rely on and enforce the provisions of this Limited Guarantee that bar the liability, or otherwise protect the interests, of such Non-Recourse Parties.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Confidentiality</w:t>
      </w:r>
      <w:r>
        <w:rPr>
          <w:rFonts w:ascii="Times New Roman" w:hAnsi="Times New Roman"/>
          <w:sz w:val="20"/>
        </w:rPr>
        <w:t xml:space="preserve">. This Limited Guarantee shall be treated as confidential and is being provided to the Guaranteed Party and its Representatives solely in connection with the Agreement and the transactions contemplated thereby. This Limited Guarantee may not be used, circulated, quoted or otherwise referred to in any document by the Guaranteed Party and its Representatives except with the prior written consent of the Guarantor;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written consent is required for any disclosure of the existence or terms of this Limited Guarantee by the Guaranteed Party to (a) the extent required by applicable Law, the applicable rules of any national securities exchange or in connection with any U.S. Securities and Exchange Commission filing relating to the transactions contemplated by the Agreement (</w:t>
      </w:r>
      <w:r>
        <w:rPr>
          <w:rFonts w:ascii="Times New Roman" w:hAnsi="Times New Roman"/>
          <w:sz w:val="20"/>
          <w:u w:val="single"/>
        </w:rPr>
        <w:t>provided</w:t>
      </w:r>
      <w:r>
        <w:rPr>
          <w:rFonts w:ascii="Times New Roman" w:hAnsi="Times New Roman"/>
          <w:sz w:val="20"/>
        </w:rPr>
        <w:t xml:space="preserve">, that the Guaranteed Party will provide the Guarantor an opportunity to review such required disclosure in advance of such public disclosure being made to the extent permitted by Law), (b) professional advisors of the Guaranteed Party who need to know of this Limited Guarantee in connection with the transactions contemplated by the Agreement; (c) the Special Committee and the Board; or (d) in connection with the enforcement of the Guaranteed Party’s rights hereunder or under the Agreement.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Limited Guarantee constitutes the entire agreement with respect to the subject matter hereof, and supersedes any and all prior discussions, negotiations, proposals, undertakings, understandings and agreements, whether written or oral, among the Guarantor or any of its Affiliates, on the one hand, and the Guaranteed Party or any other Non-Recourse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other hand. No amendment, supplementation, modification or waiver of this Limited Guarantee or any provision hereof shall be enforceable unless approved by the Guaranteed Party and the Guarantor in writing. The Guaranteed Party and its Affiliates are not relying upon any prior or contemporaneous statement, undertaking, understanding, agreement, representation or warranty, whether written or oral, made by or on behalf of the Guarantor or any other Non-Recourse Party in connection with this Limited Guarantee except as expressly set forth herein by the Guarantor and as set forth in the Agreement, the Equity Commitment Letter, the Support Agreement and the Confidentiality Agreement. The Guarantor and its Affiliates are not relying upon any prior or contemporaneous statement, undertaking, understanding, agreement, representation or warranty, whether written or oral, made by or on behalf of the Guaranteed Party in connection with this Limited Guarantee except as expressly set forth herein by the Guaranteed Party and as set forth in the Agreement, the Equity Commitment Letter, the Support Agreement and the Confidentiality Agreement. </w:t>
      </w:r>
    </w:p>
    <w:p>
      <w:pPr>
        <w:pStyle w:val="TextBody"/>
        <w:bidi w:val="0"/>
        <w:spacing w:before="120" w:after="0"/>
        <w:jc w:val="left"/>
        <w:rPr>
          <w:rFonts w:ascii="Times New Roman" w:hAnsi="Times New Roman"/>
          <w:sz w:val="20"/>
        </w:rPr>
      </w:pPr>
      <w:r>
        <w:rPr>
          <w:rFonts w:ascii="Times New Roman" w:hAnsi="Times New Roman"/>
          <w:sz w:val="20"/>
        </w:rPr>
        <w:t xml:space="preserve">(b) Any term or provision of this Limited Guarantee that is invalid or unenforceable in any jurisdiction shall be, as to such jurisdiction, ineffective solely to the extent of such prohibition or unenforceability without invalidating the remaining provisions hereof, and any such prohibition or unenforceability in any jurisdiction shall not invalidate or render unenforceable such provision in any other jurisdiction;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this Limited Guarantee may not be enforced without giving effect to the limitation of the amount payable by the Guarantor hereunder with respect to the Guaranteed Obligations to the Aggregate Fee Cap provided in </w:t>
      </w:r>
      <w:r>
        <w:rPr>
          <w:rFonts w:ascii="Times New Roman" w:hAnsi="Times New Roman"/>
          <w:sz w:val="20"/>
          <w:u w:val="single"/>
        </w:rPr>
        <w:t>Section 1</w:t>
      </w:r>
      <w:r>
        <w:rPr>
          <w:rFonts w:ascii="Times New Roman" w:hAnsi="Times New Roman"/>
          <w:sz w:val="20"/>
        </w:rPr>
        <w:t xml:space="preserve"> and to the provisions of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 Each party hereto covenants and agrees that it shall not assert, and shall cause its respective Affiliates and representatives not to assert, that this Limited Guarantee or any part hereof is invalid, illegal or unenforceable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(c) The descriptive headings herein are inserted for convenience of reference only and are not intended to be part of or to affect the meaning or interpretation of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(d) All parties acknowledge that each party and its counsel have reviewed this Limited Guarantee and that any rule of construction to the effect that any ambiguities are to be resolved against the drafting party shall not be employed in the interpretation of this 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(e) For purposes of this Limited Guarantee, any consent, approval or waiver that may be given, or is required to be given, by the Guaranteed Party shall require the prior approval of the Special Committee, and any action by the Guaranteed Party under this Limited Guarantee shall only be valid with the prior approval of the Special Committee. Notwithstanding any other provision of this Agreement, from and after the Effective Time, (i) the foregoing provisions of this </w:t>
      </w:r>
      <w:r>
        <w:rPr>
          <w:rFonts w:ascii="Times New Roman" w:hAnsi="Times New Roman"/>
          <w:sz w:val="20"/>
          <w:u w:val="single"/>
        </w:rPr>
        <w:t>Section 15(e)</w:t>
      </w:r>
      <w:r>
        <w:rPr>
          <w:rFonts w:ascii="Times New Roman" w:hAnsi="Times New Roman"/>
          <w:sz w:val="20"/>
        </w:rPr>
        <w:t xml:space="preserve"> shall no longer be in effect and (ii)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Limited Guarantee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GUARANTOR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LKCM HEADWATER INVESTMENTS 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LKCM Headwater Investments IV GP, L.P.,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LKCM Headwater Investments GP, LLC,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Jacob D. Smith</w:t>
            </w:r>
          </w:p>
        </w:tc>
      </w:tr>
      <w:tr>
        <w:trPr/>
        <w:tc>
          <w:tcPr>
            <w:tcW w:w="4082" w:type="dxa"/>
            <w:gridSpan w:val="3"/>
            <w:tcBorders/>
          </w:tcPr>
          <w:p>
            <w:pPr>
              <w:pStyle w:val="TableContents"/>
              <w:bidi w:val="0"/>
              <w:spacing w:before="0" w:after="283"/>
              <w:jc w:val="left"/>
              <w:rPr/>
            </w:pPr>
            <w:r>
              <w:rPr/>
              <w:t>Name: Jacob D. Smith</w:t>
            </w:r>
          </w:p>
        </w:tc>
      </w:tr>
      <w:tr>
        <w:trPr/>
        <w:tc>
          <w:tcPr>
            <w:tcW w:w="4082" w:type="dxa"/>
            <w:gridSpan w:val="3"/>
            <w:tcBorders/>
          </w:tcPr>
          <w:p>
            <w:pPr>
              <w:pStyle w:val="TableContents"/>
              <w:bidi w:val="0"/>
              <w:spacing w:before="0" w:after="283"/>
              <w:jc w:val="left"/>
              <w:rPr/>
            </w:pPr>
            <w:r>
              <w:rPr/>
              <w:t>Title: Vice President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Limited Guarantee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16"/>
        <w:gridCol w:w="60"/>
        <w:gridCol w:w="3606"/>
      </w:tblGrid>
      <w:tr>
        <w:trPr/>
        <w:tc>
          <w:tcPr>
            <w:tcW w:w="4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GUARANTEED PARTY</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416" w:type="dxa"/>
            <w:tcBorders/>
            <w:vAlign w:val="center"/>
          </w:tcPr>
          <w:p>
            <w:pPr>
              <w:pStyle w:val="TableContents"/>
              <w:bidi w:val="0"/>
              <w:spacing w:before="0" w:after="283"/>
              <w:jc w:val="left"/>
              <w:rPr>
                <w:sz w:val="4"/>
                <w:szCs w:val="4"/>
              </w:rPr>
            </w:pPr>
            <w:r>
              <w:rPr>
                <w:sz w:val="4"/>
                <w:szCs w:val="4"/>
              </w:rPr>
            </w:r>
          </w:p>
        </w:tc>
        <w:tc>
          <w:tcPr>
            <w:tcW w:w="3666" w:type="dxa"/>
            <w:gridSpan w:val="2"/>
            <w:tcBorders/>
            <w:vAlign w:val="center"/>
          </w:tcPr>
          <w:p>
            <w:pPr>
              <w:pStyle w:val="TableContents"/>
              <w:bidi w:val="0"/>
              <w:spacing w:before="0" w:after="283"/>
              <w:jc w:val="left"/>
              <w:rPr>
                <w:sz w:val="4"/>
                <w:szCs w:val="4"/>
              </w:rPr>
            </w:pPr>
            <w:r>
              <w:rPr>
                <w:sz w:val="4"/>
                <w:szCs w:val="4"/>
              </w:rPr>
            </w:r>
          </w:p>
        </w:tc>
      </w:tr>
      <w:tr>
        <w:trPr/>
        <w:tc>
          <w:tcPr>
            <w:tcW w:w="4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4082" w:type="dxa"/>
            <w:gridSpan w:val="3"/>
            <w:tcBorders/>
          </w:tcPr>
          <w:p>
            <w:pPr>
              <w:pStyle w:val="TableContents"/>
              <w:bidi w:val="0"/>
              <w:spacing w:before="0" w:after="283"/>
              <w:jc w:val="left"/>
              <w:rPr/>
            </w:pPr>
            <w:r>
              <w:rPr/>
              <w:t>Name: Ronald Knutson</w:t>
            </w:r>
          </w:p>
        </w:tc>
      </w:tr>
      <w:tr>
        <w:trPr/>
        <w:tc>
          <w:tcPr>
            <w:tcW w:w="4082" w:type="dxa"/>
            <w:gridSpan w:val="3"/>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Limited Guarantee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8" w:name="d131211dex103.htm"/>
      <w:bookmarkStart w:id="9" w:name="ksd131211dex103"/>
      <w:bookmarkEnd w:id="8"/>
      <w:bookmarkEnd w:id="9"/>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FIRST AMENDMENT TO SECOND AMENDED AND RESTATED CREDIT AGREEMENT </w:t>
      </w:r>
    </w:p>
    <w:p>
      <w:pPr>
        <w:pStyle w:val="TextBody"/>
        <w:bidi w:val="0"/>
        <w:spacing w:before="240" w:after="0"/>
        <w:jc w:val="left"/>
        <w:rPr>
          <w:rFonts w:ascii="Times New Roman" w:hAnsi="Times New Roman"/>
          <w:sz w:val="20"/>
        </w:rPr>
      </w:pPr>
      <w:r>
        <w:rPr>
          <w:rFonts w:ascii="Times New Roman" w:hAnsi="Times New Roman"/>
          <w:sz w:val="20"/>
        </w:rPr>
        <w:t>THIS FIRST AMENDMENT TO SECOND AMENDED AND RESTATED CREDIT AGREEMENT (this “</w:t>
      </w:r>
      <w:r>
        <w:rPr>
          <w:rFonts w:ascii="Times New Roman" w:hAnsi="Times New Roman"/>
          <w:sz w:val="20"/>
          <w:u w:val="single"/>
        </w:rPr>
        <w:t>Amendment</w:t>
      </w:r>
      <w:r>
        <w:rPr>
          <w:rFonts w:ascii="Times New Roman" w:hAnsi="Times New Roman"/>
          <w:sz w:val="20"/>
        </w:rPr>
        <w:t>”) is made as of July 15, 2026 by and among DISTRIBUTION SOLUTIONS GROUP, INC., a Delaware corporation (formerly known as Lawson Products, Inc., the “</w:t>
      </w:r>
      <w:r>
        <w:rPr>
          <w:rFonts w:ascii="Times New Roman" w:hAnsi="Times New Roman"/>
          <w:sz w:val="20"/>
          <w:u w:val="single"/>
        </w:rPr>
        <w:t>Company</w:t>
      </w:r>
      <w:r>
        <w:rPr>
          <w:rFonts w:ascii="Times New Roman" w:hAnsi="Times New Roman"/>
          <w:sz w:val="20"/>
        </w:rPr>
        <w:t>”), each other Borrower under the Existing Credit Agreement, the other Loan Parties under the Existing Credit Agreement, the “Lenders” party to the Existing Credit Agreement (the “</w:t>
      </w:r>
      <w:r>
        <w:rPr>
          <w:rFonts w:ascii="Times New Roman" w:hAnsi="Times New Roman"/>
          <w:sz w:val="20"/>
          <w:u w:val="single"/>
        </w:rPr>
        <w:t>Existing Lenders</w:t>
      </w:r>
      <w:r>
        <w:rPr>
          <w:rFonts w:ascii="Times New Roman" w:hAnsi="Times New Roman"/>
          <w:sz w:val="20"/>
        </w:rPr>
        <w:t>”) signatory hereto, and JPMorgan Chase Bank, N.A., as the Administrative Agent (the “</w:t>
      </w:r>
      <w:r>
        <w:rPr>
          <w:rFonts w:ascii="Times New Roman" w:hAnsi="Times New Roman"/>
          <w:sz w:val="20"/>
          <w:u w:val="single"/>
        </w:rPr>
        <w:t>Administrative Agent</w:t>
      </w:r>
      <w:r>
        <w:rPr>
          <w:rFonts w:ascii="Times New Roman" w:hAnsi="Times New Roman"/>
          <w:sz w:val="20"/>
        </w:rPr>
        <w:t>”), under that certain Second Amended and Restated Credit Agreement, dated as of December 18, 2025, by and among the Company, the other Loan Parties party thereto, the financial institutions from time to time party thereto as Lenders and the Administrative Agent (as amended, restated, supplemented or otherwise modified from time to time prior to the date hereof,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Sponsor and the Company intend to consummate the Take-Private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Loan Parties intend to consummate certain other Permitted Acquisitions after the First Amendment Date;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therewith, the Company has requested that Existing Lenders constituting Required Lenders (as defined in and determined under the Existing Credit Agreement immediately prior to the effectiveness hereof) and the Administrative Agent agree to make certain modifications to the Existing Credit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have so agreed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set forth above, the terms and conditions set forth herein, and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Defined Terms</w:t>
      </w:r>
      <w:r>
        <w:rPr>
          <w:rFonts w:ascii="Times New Roman" w:hAnsi="Times New Roman"/>
          <w:sz w:val="20"/>
        </w:rPr>
        <w:t xml:space="preserve">. Unless otherwise noted, capitalized terms used herein (including in the </w:t>
      </w:r>
      <w:r>
        <w:rPr>
          <w:rFonts w:ascii="Times New Roman" w:hAnsi="Times New Roman"/>
          <w:sz w:val="20"/>
          <w:u w:val="single"/>
        </w:rPr>
        <w:t>Recitals</w:t>
      </w:r>
      <w:r>
        <w:rPr>
          <w:rFonts w:ascii="Times New Roman" w:hAnsi="Times New Roman"/>
          <w:sz w:val="20"/>
        </w:rPr>
        <w:t xml:space="preserve"> above) and not otherwise defined herein shall have the respective meanings given to them in the Amended Credit Agreement referenced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Amendments to the Existing Credit Agreement</w:t>
      </w:r>
      <w:r>
        <w:rPr>
          <w:rFonts w:ascii="Times New Roman" w:hAnsi="Times New Roman"/>
          <w:sz w:val="20"/>
        </w:rPr>
        <w:t xml:space="preserve">. Effective as of the First Amendment Date, the parties hereto agree that the Amended Credit Agreement (excluding all Exhibits (other than Exhibit G to the Amended Credit Agreement which shall be in the form appended thereto and shown on </w:t>
      </w:r>
      <w:r>
        <w:rPr>
          <w:rFonts w:ascii="Times New Roman" w:hAnsi="Times New Roman"/>
          <w:sz w:val="20"/>
          <w:u w:val="single"/>
        </w:rPr>
        <w:t>Exhibit A</w:t>
      </w:r>
      <w:r>
        <w:rPr>
          <w:rFonts w:ascii="Times New Roman" w:hAnsi="Times New Roman"/>
          <w:sz w:val="20"/>
        </w:rPr>
        <w:t xml:space="preserve"> hereto) and Schedules, which shall remain in the form most recently delivered) is hereby amended to delete the stricken text (indicated in the same manner as the following example:</w:t>
      </w:r>
      <w:r>
        <w:rPr>
          <w:rFonts w:ascii="Times New Roman" w:hAnsi="Times New Roman"/>
          <w:strike/>
          <w:color w:val="FF0000"/>
          <w:sz w:val="20"/>
        </w:rPr>
        <w:t xml:space="preserve"> stricken text</w:t>
      </w:r>
      <w:r>
        <w:rPr>
          <w:rFonts w:ascii="Times New Roman" w:hAnsi="Times New Roman"/>
          <w:sz w:val="20"/>
        </w:rPr>
        <w:t xml:space="preserve">) and to add the double-underlined text (indicated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on </w:t>
      </w:r>
      <w:r>
        <w:rPr>
          <w:rFonts w:ascii="Times New Roman" w:hAnsi="Times New Roman"/>
          <w:sz w:val="20"/>
          <w:u w:val="single"/>
        </w:rPr>
        <w:t>Exhibit A</w:t>
      </w:r>
      <w:r>
        <w:rPr>
          <w:rFonts w:ascii="Times New Roman" w:hAnsi="Times New Roman"/>
          <w:sz w:val="20"/>
        </w:rPr>
        <w:t xml:space="preserve"> hereto (the Existing Credit Agreement as so amended or restated, the “</w:t>
      </w:r>
      <w:r>
        <w:rPr>
          <w:rFonts w:ascii="Times New Roman" w:hAnsi="Times New Roman"/>
          <w:sz w:val="20"/>
          <w:u w:val="single"/>
        </w:rPr>
        <w:t>Amended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Conditions of Effectiveness</w:t>
      </w:r>
      <w:r>
        <w:rPr>
          <w:rFonts w:ascii="Times New Roman" w:hAnsi="Times New Roman"/>
          <w:sz w:val="20"/>
        </w:rPr>
        <w:t>. This Amendment shall become effective as of the first date (the “</w:t>
      </w:r>
      <w:r>
        <w:rPr>
          <w:rFonts w:ascii="Times New Roman" w:hAnsi="Times New Roman"/>
          <w:sz w:val="20"/>
          <w:u w:val="single"/>
        </w:rPr>
        <w:t>First Amendment Date</w:t>
      </w:r>
      <w:r>
        <w:rPr>
          <w:rFonts w:ascii="Times New Roman" w:hAnsi="Times New Roman"/>
          <w:sz w:val="20"/>
        </w:rPr>
        <w:t xml:space="preserve">”) on which each of the following conditions precedent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shall have received counterparts of this Amendment duly executed by (i) each Borrower and each other Loan Party, (ii) the Required Lenders, and (iii) the Administrative Agent;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representations and warranties contained in Article III of the Amended Credit Agreement and in the other Loan Documents are true and correct in all material respects (or in all respects in the case of any representation or warranty qualified by materiality or Material Adverse Effect), except to the extent that such representations and warranties specifically refer to an earlier date, in which case they are true and correct in all material respects (or in all respects in the case of any representation or warranty qualified by materiality or Material Adverse Effect)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shall exist;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a certificate, dated as of the First Amendment Date, from a Responsible Officer of the Company (on behalf of each Loan Party), certifying as to the satisfaction of the conditions described in the immediately preceding Sections 4(b) and 4(c); </w:t>
      </w:r>
    </w:p>
    <w:p>
      <w:pPr>
        <w:pStyle w:val="TextBody"/>
        <w:bidi w:val="0"/>
        <w:spacing w:before="120" w:after="0"/>
        <w:jc w:val="left"/>
        <w:rPr>
          <w:rFonts w:ascii="Times New Roman" w:hAnsi="Times New Roman"/>
          <w:sz w:val="20"/>
        </w:rPr>
      </w:pPr>
      <w:r>
        <w:rPr>
          <w:rFonts w:ascii="Times New Roman" w:hAnsi="Times New Roman"/>
          <w:sz w:val="20"/>
        </w:rPr>
        <w:t xml:space="preserve">(e) the Administrative Agent shall have received all costs, fees, and all reasonable and documented out-of-pocket expenses (including, without limitation, legal fees and expenses for which invoices have been presented three (3) Business Days (or such shorter period as may be agreed upon by the Company) prior to the First Amendment Date) and all other compensation payable to any Arranger or Lenders in connection with this Amendment, shall have been paid on or prior to the First Amendment Date; and </w:t>
      </w:r>
    </w:p>
    <w:p>
      <w:pPr>
        <w:pStyle w:val="TextBody"/>
        <w:bidi w:val="0"/>
        <w:spacing w:before="120" w:after="0"/>
        <w:jc w:val="left"/>
        <w:rPr>
          <w:rFonts w:ascii="Times New Roman" w:hAnsi="Times New Roman"/>
          <w:sz w:val="20"/>
        </w:rPr>
      </w:pPr>
      <w:r>
        <w:rPr>
          <w:rFonts w:ascii="Times New Roman" w:hAnsi="Times New Roman"/>
          <w:sz w:val="20"/>
        </w:rPr>
        <w:t xml:space="preserve">(f) the Administrative Agent shall have received a fully executed and effective copy of the Take-Private Transaction Merger Agreement;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all such conditions other than the conditions set forth in clause (e) of this Section 3 are satisfied (x) on a day that is not a Business Day, the First Amendment Date shall occur on such day, (y) on a Business Day after the time at which the account bank from which the costs, fees, expenses and compensation referred to in clause (e) of this Section 3 are to be paid can process same-day wire transfers, the First Amendment Date shall occur on such Business Day, or (z) before 9:30am (New York City time) on a Business Day, the First Amendment Date shall occur on such Business Day and (A) with respect to clauses (x) or (y) of this proviso, the Company shall cause the conditions set forth in such clause (e) to satisfied on the immediately succeeding Business Day (it being understood and agreed that failure to cause such condition to be satisfied on such immediately succeeding Business Day shall constitute an immediate Event of Default under Section 7.01(a) of the Amended Credit Agreement) or (B) with respect to clause (z) of this proviso, the Company shall cause the conditions set forth in such clause (e) to satisfied on such Business Day (it being understood and agreed that failure to cause such condition to be satisfied on such Business Day shall constitute an immediate Event of Default under Section 7.01(a) of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Reference to and Effect on the Credit Agreement; Reaffirmation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effectiveness of this Amendment, on and after the date hereof, each reference in the Amended Credit Agreement to “this Agreement,” “hereunder,” “hereof,” “herein” or words of like import shall mean and be a reference to the Amended Credit Agreement after giving effect to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(b) Except as specifically amended above, the Amended Credit Agreement and all other documents, instruments and agreements executed and/or delivered in connection therewith shall remain in full force and effect and are hereby ratified and confirmed. Each Loan Party hereby (i) agrees that, except as specifically provided herein, this Amendment and the transactions contemplated hereby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limit or diminish the obligations of any Loan Party arising under or pursuant to the Credit Agreement or the other Loan Documents to which it is a party, (ii) reaffirms its obligations under the Amended Credit Agreement and each and every other Loan Document to which it is a party and (iii) reaffirms all Liens on the Collateral which have been granted by it in favor of the Administrative Agent (for itself and the other Secured Parties) pursuant to any of the Loan Documents, and all filings made with a Governmental Authority in connection therewith. This Amendment is not intended to and shall not constitute a novation of the Existing Credit Agreement or any of the Obligations or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(c) Except as expressly provided herein, the execution, delivery and effectiveness of this Amendment shall not operate as a waiver of any right, power or remedy of the Administrative Agent or the Lenders, nor constitute a waiver of any provision of the Existing Credit Agreement, the Amended Credit Agreement or any other documents, instruments and agreements executed and/or delivered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(d) This Amendment is a Loan Document.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Governing Law</w:t>
      </w:r>
      <w:r>
        <w:rPr>
          <w:rFonts w:ascii="Times New Roman" w:hAnsi="Times New Roman"/>
          <w:sz w:val="20"/>
        </w:rPr>
        <w:t xml:space="preserve">. THIS AMENDMENT SHALL BE GOVERNED BY AND CONSTRUED IN ACCORDANCE WITH THE INTERNAL LAWS OF THE STATE OF ILLINOIS, BUT GIVING EFFECT TO FEDERAL LAWS APPLICABLE TO NATIONAL BANKS.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Execution</w:t>
      </w:r>
      <w:r>
        <w:rPr>
          <w:rFonts w:ascii="Times New Roman" w:hAnsi="Times New Roman"/>
          <w:sz w:val="20"/>
        </w:rPr>
        <w:t xml:space="preserve">. This Amendment may be executed in any number of counterparts (and by different parties hereto on different counterparts), each of which shall be deemed to constitute an original, but all of which when taken together shall constitute a single contract. Delivery of an executed counterpart of a signature page of this Amendment by facsimile or other electronic imaging shall be effective as delivery of a manually executed counterpart of this Amendment. For the avoidance of doubt, the provisions of Section 9.06(b) of the Amended Credit Agreement shall apply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Headings</w:t>
      </w:r>
      <w:r>
        <w:rPr>
          <w:rFonts w:ascii="Times New Roman" w:hAnsi="Times New Roman"/>
          <w:sz w:val="20"/>
        </w:rPr>
        <w:t xml:space="preserve">. Section headings used herein are for convenience of reference only, are not part of this Amendment and shall not affect the construction of, or be taken into consideration in interpreting, this Amendment. </w:t>
      </w:r>
    </w:p>
    <w:p>
      <w:pPr>
        <w:pStyle w:val="TextBody"/>
        <w:bidi w:val="0"/>
        <w:spacing w:before="240" w:after="0"/>
        <w:jc w:val="center"/>
        <w:rPr>
          <w:rFonts w:ascii="Times New Roman" w:hAnsi="Times New Roman"/>
          <w:sz w:val="20"/>
        </w:rPr>
      </w:pPr>
      <w:r>
        <w:rPr>
          <w:rFonts w:ascii="Times New Roman" w:hAnsi="Times New Roman"/>
          <w:b/>
          <w:sz w:val="20"/>
          <w:u w:val="single"/>
        </w:rPr>
        <w:t>[</w:t>
      </w:r>
      <w:r>
        <w:rPr>
          <w:rFonts w:ascii="Times New Roman" w:hAnsi="Times New Roman"/>
          <w:sz w:val="20"/>
        </w:rPr>
        <w:t>Signature Pages Follow</w:t>
      </w:r>
      <w:r>
        <w:rPr>
          <w:rFonts w:ascii="Times New Roman" w:hAnsi="Times New Roman"/>
          <w:b/>
          <w:sz w:val="20"/>
          <w:u w:val="single"/>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Amendment has been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DISTRIBUTION SOLUTIONS GROUP, INC. (formerly known as Lawson Products, Inc.), as the Company and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LAWSON PRODUCTS, INC.,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Executive Vice President,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BARON DIVESTITURE COMPANY,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LAWSON PRODUCTS CANADA INC., as a Borrower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Ronald Knutson</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tcPr>
          <w:p>
            <w:pPr>
              <w:pStyle w:val="TableContents"/>
              <w:bidi w:val="0"/>
              <w:spacing w:before="0" w:after="283"/>
              <w:jc w:val="left"/>
              <w:rPr/>
            </w:pPr>
            <w:r>
              <w:rPr/>
              <w:t>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06"/>
        <w:gridCol w:w="60"/>
        <w:gridCol w:w="3316"/>
      </w:tblGrid>
      <w:tr>
        <w:trPr/>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BOLT SUPPLY HOUSE LTD., as a Borrower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Ronald Knutson</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Senior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GS OPERATING, LLC, as a Borrower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Schilling</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Craig Schilling</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TESTEQUITY LLC, as a Borrower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Mark Riordan</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301 HW OPUS HOLDINGS, INC.,as a Subsidiary Guarantor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Craig Schilling</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Craig Schilling</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TESTEQUITY ACQUISITION, LLC, as a Subsidiary Guarantor</w:t>
            </w:r>
          </w:p>
        </w:tc>
      </w:tr>
      <w:tr>
        <w:trPr>
          <w:trHeight w:val="240" w:hRule="atLeast"/>
        </w:trPr>
        <w:tc>
          <w:tcPr>
            <w:tcW w:w="706" w:type="dxa"/>
            <w:tcBorders/>
            <w:vAlign w:val="center"/>
          </w:tcPr>
          <w:p>
            <w:pPr>
              <w:pStyle w:val="TableContents"/>
              <w:bidi w:val="0"/>
              <w:spacing w:before="0" w:after="283"/>
              <w:jc w:val="left"/>
              <w:rPr>
                <w:sz w:val="4"/>
                <w:szCs w:val="4"/>
              </w:rPr>
            </w:pPr>
            <w:r>
              <w:rPr>
                <w:sz w:val="4"/>
                <w:szCs w:val="4"/>
              </w:rPr>
            </w:r>
          </w:p>
        </w:tc>
        <w:tc>
          <w:tcPr>
            <w:tcW w:w="3376" w:type="dxa"/>
            <w:gridSpan w:val="2"/>
            <w:tcBorders/>
            <w:vAlign w:val="center"/>
          </w:tcPr>
          <w:p>
            <w:pPr>
              <w:pStyle w:val="TableContents"/>
              <w:bidi w:val="0"/>
              <w:spacing w:before="0" w:after="283"/>
              <w:jc w:val="left"/>
              <w:rPr>
                <w:sz w:val="4"/>
                <w:szCs w:val="4"/>
              </w:rPr>
            </w:pPr>
            <w:r>
              <w:rPr>
                <w:sz w:val="4"/>
                <w:szCs w:val="4"/>
              </w:rPr>
            </w:r>
          </w:p>
        </w:tc>
      </w:tr>
      <w:tr>
        <w:trPr/>
        <w:tc>
          <w:tcPr>
            <w:tcW w:w="70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70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Mark Riordan</w:t>
            </w:r>
          </w:p>
        </w:tc>
      </w:tr>
      <w:tr>
        <w:trPr/>
        <w:tc>
          <w:tcPr>
            <w:tcW w:w="70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Financial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INTERWORLD HIGHWAY, LLC,</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Mark Riordan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Chief Financial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HIS COMPANY, INC.,</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Riordan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Mark Riordan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Chief Financial Officer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S&amp;S AUTOMOTIVE, LLC,</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Ronald Knutson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SOURCE ATLANTIC LIMITED,</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Ronald Knutson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SOUCIE SALO LIMITED,</w:t>
            </w:r>
          </w:p>
          <w:p>
            <w:pPr>
              <w:pStyle w:val="TableContents"/>
              <w:bidi w:val="0"/>
              <w:spacing w:before="0" w:after="20"/>
              <w:jc w:val="left"/>
              <w:rPr>
                <w:rFonts w:ascii="Times New Roman" w:hAnsi="Times New Roman"/>
                <w:sz w:val="20"/>
              </w:rPr>
            </w:pPr>
            <w:r>
              <w:rPr>
                <w:rFonts w:ascii="Times New Roman" w:hAnsi="Times New Roman"/>
                <w:sz w:val="20"/>
              </w:rPr>
              <w:t>as a Subsidiary Guarantor</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Knutson</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Ronald Knutson</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individually as the Administrative Agent and as a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Ward</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Brian Ward</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L. Knowles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Robert L. Knowles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TD BANK, N.A., 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Echausse</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Peter Echausse</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8"/>
        <w:gridCol w:w="60"/>
        <w:gridCol w:w="3344"/>
      </w:tblGrid>
      <w:tr>
        <w:trPr/>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NATIONAL ASSOCIATION, as a Lender</w:t>
            </w:r>
          </w:p>
        </w:tc>
      </w:tr>
      <w:tr>
        <w:trPr>
          <w:trHeight w:val="240" w:hRule="atLeast"/>
        </w:trPr>
        <w:tc>
          <w:tcPr>
            <w:tcW w:w="678" w:type="dxa"/>
            <w:tcBorders/>
            <w:vAlign w:val="center"/>
          </w:tcPr>
          <w:p>
            <w:pPr>
              <w:pStyle w:val="TableContents"/>
              <w:bidi w:val="0"/>
              <w:spacing w:before="0" w:after="283"/>
              <w:jc w:val="left"/>
              <w:rPr>
                <w:sz w:val="4"/>
                <w:szCs w:val="4"/>
              </w:rPr>
            </w:pPr>
            <w:r>
              <w:rPr>
                <w:sz w:val="4"/>
                <w:szCs w:val="4"/>
              </w:rPr>
            </w:r>
          </w:p>
        </w:tc>
        <w:tc>
          <w:tcPr>
            <w:tcW w:w="3404" w:type="dxa"/>
            <w:gridSpan w:val="2"/>
            <w:tcBorders/>
            <w:vAlign w:val="center"/>
          </w:tcPr>
          <w:p>
            <w:pPr>
              <w:pStyle w:val="TableContents"/>
              <w:bidi w:val="0"/>
              <w:spacing w:before="0" w:after="283"/>
              <w:jc w:val="left"/>
              <w:rPr>
                <w:sz w:val="4"/>
                <w:szCs w:val="4"/>
              </w:rPr>
            </w:pPr>
            <w:r>
              <w:rPr>
                <w:sz w:val="4"/>
                <w:szCs w:val="4"/>
              </w:rPr>
            </w:r>
          </w:p>
        </w:tc>
      </w:tr>
      <w:tr>
        <w:trPr/>
        <w:tc>
          <w:tcPr>
            <w:tcW w:w="6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Zwanziger</w:t>
            </w:r>
          </w:p>
        </w:tc>
      </w:tr>
      <w:tr>
        <w:trPr/>
        <w:tc>
          <w:tcPr>
            <w:tcW w:w="67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4" w:type="dxa"/>
            <w:tcBorders/>
          </w:tcPr>
          <w:p>
            <w:pPr>
              <w:pStyle w:val="TableContents"/>
              <w:bidi w:val="0"/>
              <w:spacing w:before="0" w:after="283"/>
              <w:jc w:val="left"/>
              <w:rPr/>
            </w:pPr>
            <w:r>
              <w:rPr/>
              <w:t>John Zwanziger</w:t>
            </w:r>
          </w:p>
        </w:tc>
      </w:tr>
      <w:tr>
        <w:trPr/>
        <w:tc>
          <w:tcPr>
            <w:tcW w:w="67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Lender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Travis Padgett</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Travis Padgett</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CAPITAL ONE, NATIONAL ASSOCIATION, as a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Benjamin Lucas</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Benjamin Lucas</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Duly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CIBC BANK USA, as a Lender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Riley Hanson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Riley Hanson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Associate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REGIONS BANK,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Nicole Flores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Nicole Flores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FIRST HORIZON BANK,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Cody Tucker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Cody Tucker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FLAGSTAR BANK, N.A.,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M. Sumoski</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James M. Sumoski</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9"/>
        <w:gridCol w:w="60"/>
        <w:gridCol w:w="3343"/>
      </w:tblGrid>
      <w:tr>
        <w:trPr/>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HUNTINGTON NATIONAL BANK, as a Lender</w:t>
            </w:r>
          </w:p>
        </w:tc>
      </w:tr>
      <w:tr>
        <w:trPr>
          <w:trHeight w:val="240" w:hRule="atLeast"/>
        </w:trPr>
        <w:tc>
          <w:tcPr>
            <w:tcW w:w="679" w:type="dxa"/>
            <w:tcBorders/>
            <w:vAlign w:val="center"/>
          </w:tcPr>
          <w:p>
            <w:pPr>
              <w:pStyle w:val="TableContents"/>
              <w:bidi w:val="0"/>
              <w:spacing w:before="0" w:after="283"/>
              <w:jc w:val="left"/>
              <w:rPr>
                <w:sz w:val="4"/>
                <w:szCs w:val="4"/>
              </w:rPr>
            </w:pPr>
            <w:r>
              <w:rPr>
                <w:sz w:val="4"/>
                <w:szCs w:val="4"/>
              </w:rPr>
            </w:r>
          </w:p>
        </w:tc>
        <w:tc>
          <w:tcPr>
            <w:tcW w:w="3403" w:type="dxa"/>
            <w:gridSpan w:val="2"/>
            <w:tcBorders/>
            <w:vAlign w:val="center"/>
          </w:tcPr>
          <w:p>
            <w:pPr>
              <w:pStyle w:val="TableContents"/>
              <w:bidi w:val="0"/>
              <w:spacing w:before="0" w:after="283"/>
              <w:jc w:val="left"/>
              <w:rPr>
                <w:sz w:val="4"/>
                <w:szCs w:val="4"/>
              </w:rPr>
            </w:pPr>
            <w:r>
              <w:rPr>
                <w:sz w:val="4"/>
                <w:szCs w:val="4"/>
              </w:rPr>
            </w:r>
          </w:p>
        </w:tc>
      </w:tr>
      <w:tr>
        <w:trPr/>
        <w:tc>
          <w:tcPr>
            <w:tcW w:w="67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Toby B. Rau</w:t>
            </w:r>
          </w:p>
        </w:tc>
      </w:tr>
      <w:tr>
        <w:trPr/>
        <w:tc>
          <w:tcPr>
            <w:tcW w:w="67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pPr>
            <w:r>
              <w:rPr/>
              <w:t>Toby B. Rau</w:t>
            </w:r>
          </w:p>
        </w:tc>
      </w:tr>
      <w:tr>
        <w:trPr/>
        <w:tc>
          <w:tcPr>
            <w:tcW w:w="67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3"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TEXAS, as a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Gerdes</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John Gerdes</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First Amendment to Second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Distribution Solutions Group,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Amendments to Credit Agreement </w:t>
      </w:r>
    </w:p>
    <w:p>
      <w:pPr>
        <w:pStyle w:val="TextBody"/>
        <w:bidi w:val="0"/>
        <w:spacing w:before="240" w:after="0"/>
        <w:jc w:val="center"/>
        <w:rPr>
          <w:rFonts w:ascii="Times New Roman" w:hAnsi="Times New Roman"/>
          <w:sz w:val="20"/>
        </w:rPr>
      </w:pPr>
      <w:r>
        <w:rPr>
          <w:rFonts w:ascii="Times New Roman" w:hAnsi="Times New Roman"/>
          <w:b/>
          <w:sz w:val="20"/>
          <w:u w:val="single"/>
        </w:rPr>
        <w:t>[</w:t>
      </w:r>
      <w:r>
        <w:rPr>
          <w:rFonts w:ascii="Times New Roman" w:hAnsi="Times New Roman"/>
          <w:sz w:val="20"/>
        </w:rPr>
        <w:t>Attached</w:t>
      </w:r>
      <w:r>
        <w:rPr>
          <w:rFonts w:ascii="Times New Roman" w:hAnsi="Times New Roman"/>
          <w:b/>
          <w:sz w:val="20"/>
          <w:u w:val="single"/>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trike/>
          <w:color w:val="FF0000"/>
          <w:sz w:val="20"/>
        </w:rPr>
        <w:t>EXECUTION VERSION</w:t>
      </w:r>
      <w:r>
        <w:rPr>
          <w:rFonts w:ascii="Times New Roman" w:hAnsi="Times New Roman"/>
          <w:b/>
          <w:color w:val="0000FF"/>
          <w:sz w:val="20"/>
          <w:u w:val="single"/>
          <w:bdr w:val="double" w:sz="2" w:space="1" w:color="000000"/>
        </w:rPr>
        <w:t>EXHIBIT A TO FIRST AMENDMENT</w:t>
      </w:r>
      <w:r>
        <w:rPr>
          <w:rFonts w:ascii="Times New Roman" w:hAnsi="Times New Roman"/>
          <w:b/>
          <w:sz w:val="20"/>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85290" cy="377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290" cy="3771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SECOND 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December 18, 2025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(as amended by First Amendment to Second Amended and Restated Credit Agreement, dated as of July 15, 2026)</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DISTRIBUTION SOLUTIONS GROUP, INC., formerly known as Lawson Products, Inc., a Delaware </w:t>
      </w:r>
    </w:p>
    <w:p>
      <w:pPr>
        <w:pStyle w:val="TextBody"/>
        <w:bidi w:val="0"/>
        <w:spacing w:before="0" w:after="0"/>
        <w:jc w:val="center"/>
        <w:rPr>
          <w:rFonts w:ascii="Times New Roman" w:hAnsi="Times New Roman"/>
          <w:sz w:val="20"/>
        </w:rPr>
      </w:pPr>
      <w:r>
        <w:rPr>
          <w:rFonts w:ascii="Times New Roman" w:hAnsi="Times New Roman"/>
          <w:sz w:val="20"/>
        </w:rPr>
        <w:t xml:space="preserve">corporation, LAWSON PRODUCTS, INC., an Illinois corporation, BARON DIVESTITURE </w:t>
      </w:r>
    </w:p>
    <w:p>
      <w:pPr>
        <w:pStyle w:val="TextBody"/>
        <w:bidi w:val="0"/>
        <w:spacing w:before="0" w:after="0"/>
        <w:jc w:val="center"/>
        <w:rPr>
          <w:rFonts w:ascii="Times New Roman" w:hAnsi="Times New Roman"/>
          <w:sz w:val="20"/>
        </w:rPr>
      </w:pPr>
      <w:r>
        <w:rPr>
          <w:rFonts w:ascii="Times New Roman" w:hAnsi="Times New Roman"/>
          <w:sz w:val="20"/>
        </w:rPr>
        <w:t xml:space="preserve">COMPANY, an Illinois corporation, LAWSON PRODUCTS CANADA INC., a British Columbia </w:t>
      </w:r>
    </w:p>
    <w:p>
      <w:pPr>
        <w:pStyle w:val="TextBody"/>
        <w:bidi w:val="0"/>
        <w:spacing w:before="0" w:after="0"/>
        <w:jc w:val="center"/>
        <w:rPr>
          <w:rFonts w:ascii="Times New Roman" w:hAnsi="Times New Roman"/>
          <w:sz w:val="20"/>
        </w:rPr>
      </w:pPr>
      <w:r>
        <w:rPr>
          <w:rFonts w:ascii="Times New Roman" w:hAnsi="Times New Roman"/>
          <w:sz w:val="20"/>
        </w:rPr>
        <w:t xml:space="preserve">corporation, THE BOLT SUPPLY HOUSE LTD., an Alberta corporation, GS OPERATING, LLC, a </w:t>
      </w:r>
    </w:p>
    <w:p>
      <w:pPr>
        <w:pStyle w:val="TextBody"/>
        <w:bidi w:val="0"/>
        <w:spacing w:before="0" w:after="0"/>
        <w:jc w:val="center"/>
        <w:rPr>
          <w:rFonts w:ascii="Times New Roman" w:hAnsi="Times New Roman"/>
          <w:sz w:val="20"/>
        </w:rPr>
      </w:pPr>
      <w:r>
        <w:rPr>
          <w:rFonts w:ascii="Times New Roman" w:hAnsi="Times New Roman"/>
          <w:sz w:val="20"/>
        </w:rPr>
        <w:t xml:space="preserve">Delaware limited liability company, and TESTEQUITY LLC, a Delaware limited liability company, as </w:t>
      </w:r>
    </w:p>
    <w:p>
      <w:pPr>
        <w:pStyle w:val="TextBody"/>
        <w:bidi w:val="0"/>
        <w:spacing w:before="0" w:after="0"/>
        <w:jc w:val="center"/>
        <w:rPr>
          <w:rFonts w:ascii="Times New Roman" w:hAnsi="Times New Roman"/>
          <w:sz w:val="20"/>
        </w:rPr>
      </w:pPr>
      <w:r>
        <w:rPr>
          <w:rFonts w:ascii="Times New Roman" w:hAnsi="Times New Roman"/>
          <w:sz w:val="20"/>
        </w:rPr>
        <w:t xml:space="preserve">Borrowers, </w:t>
      </w:r>
    </w:p>
    <w:p>
      <w:pPr>
        <w:pStyle w:val="TextBody"/>
        <w:bidi w:val="0"/>
        <w:spacing w:before="240" w:after="0"/>
        <w:jc w:val="center"/>
        <w:rPr>
          <w:rFonts w:ascii="Times New Roman" w:hAnsi="Times New Roman"/>
          <w:sz w:val="20"/>
        </w:rPr>
      </w:pPr>
      <w:r>
        <w:rPr>
          <w:rFonts w:ascii="Times New Roman" w:hAnsi="Times New Roman"/>
          <w:sz w:val="20"/>
        </w:rPr>
        <w:t xml:space="preserve">The Other Loan Parties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BOFA SECURITIES, INC., WELLS FARGO SECURITIES, LLC, U.S. BANK NATIONAL </w:t>
      </w:r>
    </w:p>
    <w:p>
      <w:pPr>
        <w:pStyle w:val="TextBody"/>
        <w:bidi w:val="0"/>
        <w:spacing w:before="0" w:after="0"/>
        <w:jc w:val="center"/>
        <w:rPr>
          <w:rFonts w:ascii="Times New Roman" w:hAnsi="Times New Roman"/>
          <w:sz w:val="20"/>
        </w:rPr>
      </w:pPr>
      <w:r>
        <w:rPr>
          <w:rFonts w:ascii="Times New Roman" w:hAnsi="Times New Roman"/>
          <w:sz w:val="20"/>
        </w:rPr>
        <w:t xml:space="preserve">ASSOCIATION, TD BANK, N.A., CAPITAL ONE NATIONAL ASSOCIATION, REGIONS BANK </w:t>
      </w:r>
    </w:p>
    <w:p>
      <w:pPr>
        <w:pStyle w:val="TextBody"/>
        <w:bidi w:val="0"/>
        <w:spacing w:before="0" w:after="0"/>
        <w:jc w:val="center"/>
        <w:rPr>
          <w:rFonts w:ascii="Times New Roman" w:hAnsi="Times New Roman"/>
          <w:sz w:val="20"/>
        </w:rPr>
      </w:pPr>
      <w:r>
        <w:rPr>
          <w:rFonts w:ascii="Times New Roman" w:hAnsi="Times New Roman"/>
          <w:sz w:val="20"/>
        </w:rPr>
        <w:t xml:space="preserve">CAPITAL MARKETS, a Division of REGIONS BANK and CIBC BANK USA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Joint Lead Arrangers and Co-Syndication Agents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0"/>
        <w:gridCol w:w="141"/>
        <w:gridCol w:w="60"/>
        <w:gridCol w:w="622"/>
        <w:gridCol w:w="62"/>
      </w:tblGrid>
      <w:tr>
        <w:trPr/>
        <w:tc>
          <w:tcPr>
            <w:tcW w:w="932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82"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Defined Terms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 Classification of Loans and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51</w:t>
            </w:r>
            <w:r>
              <w:rPr>
                <w:color w:val="0000FF"/>
                <w:u w:val="single"/>
                <w:bdr w:val="double" w:sz="2" w:space="1" w:color="000000"/>
              </w:rPr>
              <w:t>61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 Terms Generally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51</w:t>
            </w:r>
            <w:r>
              <w:rPr>
                <w:color w:val="0000FF"/>
                <w:u w:val="single"/>
                <w:bdr w:val="double" w:sz="2" w:space="1" w:color="000000"/>
              </w:rPr>
              <w:t>61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 Accounting Terms; GAAP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62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 Interest Rates; Benchmark Notification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53</w:t>
            </w:r>
            <w:r>
              <w:rPr>
                <w:color w:val="0000FF"/>
                <w:u w:val="single"/>
                <w:bdr w:val="double" w:sz="2" w:space="1" w:color="000000"/>
              </w:rPr>
              <w:t>63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1.06. Pro Forma Adjustments for Acquisitions and Dispositions; </w:t>
            </w:r>
            <w:r>
              <w:rPr>
                <w:rFonts w:ascii="Times New Roman" w:hAnsi="Times New Roman"/>
                <w:color w:val="0000FF"/>
                <w:sz w:val="20"/>
                <w:u w:val="single"/>
                <w:bdr w:val="double" w:sz="2" w:space="1" w:color="000000"/>
              </w:rPr>
              <w:t xml:space="preserve">Determination of Basket Amounts; </w:t>
            </w:r>
            <w:r>
              <w:rPr>
                <w:rFonts w:ascii="Times New Roman" w:hAnsi="Times New Roman"/>
                <w:sz w:val="20"/>
              </w:rPr>
              <w:t>Limited Condition Acquisitions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54</w:t>
            </w:r>
            <w:r>
              <w:rPr>
                <w:color w:val="0000FF"/>
                <w:u w:val="single"/>
                <w:bdr w:val="double" w:sz="2" w:space="1" w:color="000000"/>
              </w:rPr>
              <w:t>63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 Status of Obligations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55</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 Rounding</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55</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 Divisions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 Exchange Rates; Currency Equivalents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66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 Amendment and Restatement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56</w:t>
            </w:r>
            <w:r>
              <w:rPr>
                <w:color w:val="0000FF"/>
                <w:u w:val="single"/>
                <w:bdr w:val="double" w:sz="2" w:space="1" w:color="000000"/>
              </w:rPr>
              <w:t>67</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1.12. Cashless Rollovers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68</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ARTICLE II The Credits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68</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Commitments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57</w:t>
            </w:r>
            <w:r>
              <w:rPr>
                <w:color w:val="0000FF"/>
                <w:u w:val="single"/>
                <w:bdr w:val="double" w:sz="2" w:space="1" w:color="000000"/>
              </w:rPr>
              <w:t>68</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Loans and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58</w:t>
            </w:r>
            <w:r>
              <w:rPr>
                <w:color w:val="0000FF"/>
                <w:u w:val="single"/>
                <w:bdr w:val="double" w:sz="2" w:space="1" w:color="000000"/>
              </w:rPr>
              <w:t>69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Requests for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59</w:t>
            </w:r>
            <w:r>
              <w:rPr>
                <w:color w:val="0000FF"/>
                <w:u w:val="single"/>
                <w:bdr w:val="double" w:sz="2" w:space="1" w:color="000000"/>
              </w:rPr>
              <w:t>70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 Original Currency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71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 Swingline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60</w:t>
            </w:r>
            <w:r>
              <w:rPr>
                <w:color w:val="0000FF"/>
                <w:u w:val="single"/>
                <w:bdr w:val="double" w:sz="2" w:space="1" w:color="000000"/>
              </w:rPr>
              <w:t>71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 Letters of Credit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61</w:t>
            </w:r>
            <w:r>
              <w:rPr>
                <w:color w:val="0000FF"/>
                <w:u w:val="single"/>
                <w:bdr w:val="double" w:sz="2" w:space="1" w:color="000000"/>
              </w:rPr>
              <w:t>72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 Funding of Borrowings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78</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 Interest Elections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 Termination and Reduction of Commitments; Increase in Revolving Commitments; Incremental Term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70</w:t>
            </w:r>
            <w:r>
              <w:rPr>
                <w:color w:val="0000FF"/>
                <w:u w:val="single"/>
                <w:bdr w:val="double" w:sz="2" w:space="1" w:color="000000"/>
              </w:rPr>
              <w:t>81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 Repayment and Amortization of Loans; Evidence of Debt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72</w:t>
            </w:r>
            <w:r>
              <w:rPr>
                <w:color w:val="0000FF"/>
                <w:u w:val="single"/>
                <w:bdr w:val="double" w:sz="2" w:space="1" w:color="000000"/>
              </w:rPr>
              <w:t>84</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 Prepayment of Loans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73</w:t>
            </w:r>
            <w:r>
              <w:rPr>
                <w:color w:val="0000FF"/>
                <w:u w:val="single"/>
                <w:bdr w:val="double" w:sz="2" w:space="1" w:color="000000"/>
              </w:rPr>
              <w:t>85</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2.12. Fees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76</w:t>
            </w:r>
            <w:r>
              <w:rPr>
                <w:color w:val="0000FF"/>
                <w:u w:val="single"/>
                <w:bdr w:val="double" w:sz="2" w:space="1" w:color="000000"/>
              </w:rPr>
              <w:t>89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2.13. Interest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90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2.14. Alternate Rate of Interest; Illegality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79</w:t>
            </w:r>
            <w:r>
              <w:rPr>
                <w:color w:val="0000FF"/>
                <w:u w:val="single"/>
                <w:bdr w:val="double" w:sz="2" w:space="1" w:color="000000"/>
              </w:rPr>
              <w:t>92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2.15. Increased Costs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82</w:t>
            </w:r>
            <w:r>
              <w:rPr>
                <w:color w:val="0000FF"/>
                <w:u w:val="single"/>
                <w:bdr w:val="double" w:sz="2" w:space="1" w:color="000000"/>
              </w:rPr>
              <w:t>95</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2.16. Break Funding 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83</w:t>
            </w:r>
            <w:r>
              <w:rPr>
                <w:color w:val="0000FF"/>
                <w:u w:val="single"/>
                <w:bdr w:val="double" w:sz="2" w:space="1" w:color="000000"/>
              </w:rPr>
              <w:t>96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2.17. Withholding of Taxes; Gross-Up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83</w:t>
            </w:r>
            <w:r>
              <w:rPr>
                <w:color w:val="0000FF"/>
                <w:u w:val="single"/>
                <w:bdr w:val="double" w:sz="2" w:space="1" w:color="000000"/>
              </w:rPr>
              <w:t>96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2.18. Payments Generally; Allocation of Proceeds; Sharing of Setoffs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87</w:t>
            </w:r>
            <w:r>
              <w:rPr>
                <w:color w:val="0000FF"/>
                <w:u w:val="single"/>
                <w:bdr w:val="double" w:sz="2" w:space="1" w:color="000000"/>
              </w:rPr>
              <w:t>100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2.19. Mitigation Obligations; Replacement of Lenders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102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2.20. Defaulting Lenders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90</w:t>
            </w:r>
            <w:r>
              <w:rPr>
                <w:color w:val="0000FF"/>
                <w:u w:val="single"/>
                <w:bdr w:val="double" w:sz="2" w:space="1" w:color="000000"/>
              </w:rPr>
              <w:t>103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2.21. Returned 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105</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2.22. Banking Services and Swap Agreements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105</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ARTICLE III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Organization; Powers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Authorization; Enforceability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 Governmental Approvals; No Conflicts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 Financial Condition; No Material Adverse Change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93</w:t>
            </w:r>
            <w:r>
              <w:rPr>
                <w:color w:val="0000FF"/>
                <w:u w:val="single"/>
                <w:bdr w:val="double" w:sz="2" w:space="1" w:color="000000"/>
              </w:rPr>
              <w:t>106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 Properties, etc. 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2"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83"/>
        <w:gridCol w:w="140"/>
        <w:gridCol w:w="60"/>
        <w:gridCol w:w="759"/>
        <w:gridCol w:w="63"/>
      </w:tblGrid>
      <w:tr>
        <w:trPr/>
        <w:tc>
          <w:tcPr>
            <w:tcW w:w="918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3.06. Litigation and Environmental Matters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3.07. Compliance with Laws and Agreements; No Default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94</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3.08. Investment Company Status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3.09. Taxes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3.10. ERISA</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3.11. Disclosure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95</w:t>
            </w:r>
            <w:r>
              <w:rPr>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3.12. Solvency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3.13. Insurance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3.14. Capitalization and Subsidiaries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3.15. Security Interest in Collateral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3.16. Employment Matters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3.17. Margin Regulations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3.18. Use of Proceeds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3.19. No Burdensome Restrictions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3.20. Anti-Corruption Laws and Sanctions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97</w:t>
            </w:r>
            <w:r>
              <w:rPr>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3.21. Affected Financial Institutions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3.22. Plan Assets; Prohibited Transactions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IV Conditions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Effective Date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98</w:t>
            </w:r>
            <w:r>
              <w:rPr>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Each Credit Event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113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SECTION 4.03. Take-Private Transaction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114</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V Affirmative Covenants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5.01. Financial Statements and Other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5.02. Notices of Material Events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103</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5.03. Existence; Conduct of Business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5.04. Payment of Obligations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118</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5.05. Maintenance of Properties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5.06. Books and Records; Inspection Rights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104</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5.07. Compliance with Laws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5.08. Use of Proceeds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119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5.09. Accuracy of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105</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5.10. Insurance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r>
              <w:rPr>
                <w:rFonts w:ascii="Times New Roman" w:hAnsi="Times New Roman"/>
                <w:strike/>
                <w:color w:val="FF0000"/>
                <w:sz w:val="20"/>
              </w:rPr>
              <w:t xml:space="preserve"> Reserved</w:t>
            </w:r>
            <w:r>
              <w:rPr>
                <w:rFonts w:ascii="Times New Roman" w:hAnsi="Times New Roman"/>
                <w:color w:val="0000FF"/>
                <w:sz w:val="20"/>
                <w:u w:val="single"/>
                <w:bdr w:val="double" w:sz="2" w:space="1" w:color="000000"/>
              </w:rPr>
              <w:t xml:space="preserve"> Blocking Statute Carve-Out</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5.12. Casualty and Condemnation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5.13. Additional Collateral; Further Assurances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121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5.14. Post-Closing Requirements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5.15. Designation of Unrestricted Subsidiaries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VI Negative Covenants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6.01. Indebtedness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108</w:t>
            </w:r>
            <w:r>
              <w:rPr>
                <w:color w:val="0000FF"/>
                <w:u w:val="single"/>
                <w:bdr w:val="double" w:sz="2" w:space="1" w:color="000000"/>
              </w:rPr>
              <w:t>123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Liens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113</w:t>
            </w:r>
            <w:r>
              <w:rPr>
                <w:color w:val="0000FF"/>
                <w:u w:val="single"/>
                <w:bdr w:val="double" w:sz="2" w:space="1" w:color="000000"/>
              </w:rPr>
              <w:t>129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6.03. Fundamental Changes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114</w:t>
            </w:r>
            <w:r>
              <w:rPr>
                <w:color w:val="0000FF"/>
                <w:u w:val="single"/>
                <w:bdr w:val="double" w:sz="2" w:space="1" w:color="000000"/>
              </w:rPr>
              <w:t>130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6.04. Investments, Loans, Advances, Guarantees and Acquisitions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115</w:t>
            </w:r>
            <w:r>
              <w:rPr>
                <w:color w:val="0000FF"/>
                <w:u w:val="single"/>
                <w:bdr w:val="double" w:sz="2" w:space="1" w:color="000000"/>
              </w:rPr>
              <w:t>131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6.05. Asset Sales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118</w:t>
            </w:r>
            <w:r>
              <w:rPr>
                <w:color w:val="0000FF"/>
                <w:u w:val="single"/>
                <w:bdr w:val="double" w:sz="2" w:space="1" w:color="000000"/>
              </w:rPr>
              <w:t>135</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6.06. Sale and Leaseback Transactions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136</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6.07. Swap Agreements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119</w:t>
            </w:r>
            <w:r>
              <w:rPr>
                <w:color w:val="0000FF"/>
                <w:u w:val="single"/>
                <w:bdr w:val="double" w:sz="2" w:space="1" w:color="000000"/>
              </w:rPr>
              <w:t>137</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6.08. Restricted Payments; Certain Payments of Indebtedness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120</w:t>
            </w:r>
            <w:r>
              <w:rPr>
                <w:color w:val="0000FF"/>
                <w:u w:val="single"/>
                <w:bdr w:val="double" w:sz="2" w:space="1" w:color="000000"/>
              </w:rPr>
              <w:t>137</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6.09. Transactions with Affiliates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88"/>
        <w:gridCol w:w="139"/>
        <w:gridCol w:w="60"/>
        <w:gridCol w:w="755"/>
        <w:gridCol w:w="63"/>
      </w:tblGrid>
      <w:tr>
        <w:trPr/>
        <w:tc>
          <w:tcPr>
            <w:tcW w:w="9188"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6.10. Restrictive Agreements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141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6.11. Amendment of Material Documents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121</w:t>
            </w:r>
            <w:r>
              <w:rPr>
                <w:color w:val="0000FF"/>
                <w:u w:val="single"/>
                <w:bdr w:val="double" w:sz="2" w:space="1" w:color="000000"/>
              </w:rPr>
              <w:t>142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6.12. Financial Covenants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142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6.13. Holding Company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143</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VII Events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144</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 Events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122</w:t>
            </w:r>
            <w:r>
              <w:rPr>
                <w:color w:val="0000FF"/>
                <w:u w:val="single"/>
                <w:bdr w:val="double" w:sz="2" w:space="1" w:color="000000"/>
              </w:rPr>
              <w:t>144</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 Remedies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124</w:t>
            </w:r>
            <w:r>
              <w:rPr>
                <w:color w:val="0000FF"/>
                <w:u w:val="single"/>
                <w:bdr w:val="double" w:sz="2" w:space="1" w:color="000000"/>
              </w:rPr>
              <w:t>146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 Equity Cure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126</w:t>
            </w:r>
            <w:r>
              <w:rPr>
                <w:color w:val="0000FF"/>
                <w:u w:val="single"/>
                <w:bdr w:val="double" w:sz="2" w:space="1" w:color="000000"/>
              </w:rPr>
              <w:t>148</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VIII The Administrative Agent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149</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 Authorization and Action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127</w:t>
            </w:r>
            <w:r>
              <w:rPr>
                <w:color w:val="0000FF"/>
                <w:u w:val="single"/>
                <w:bdr w:val="double" w:sz="2" w:space="1" w:color="000000"/>
              </w:rPr>
              <w:t>149</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 Administrative Agent’s Reliance, Indemnification,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130</w:t>
            </w:r>
            <w:r>
              <w:rPr>
                <w:color w:val="0000FF"/>
                <w:u w:val="single"/>
                <w:bdr w:val="double" w:sz="2" w:space="1" w:color="000000"/>
              </w:rPr>
              <w:t>152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 Posting of Communications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131</w:t>
            </w:r>
            <w:r>
              <w:rPr>
                <w:color w:val="0000FF"/>
                <w:u w:val="single"/>
                <w:bdr w:val="double" w:sz="2" w:space="1" w:color="000000"/>
              </w:rPr>
              <w:t>154</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 The Administrative Agent Individually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 Successor Administrative Agent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133</w:t>
            </w:r>
            <w:r>
              <w:rPr>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8.06. Acknowledgements of Lenders and Issuing Banks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134</w:t>
            </w:r>
            <w:r>
              <w:rPr>
                <w:color w:val="0000FF"/>
                <w:u w:val="single"/>
                <w:bdr w:val="double" w:sz="2" w:space="1" w:color="000000"/>
              </w:rPr>
              <w:t>156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8.07. Collateral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8.08. Credit Bidding</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137</w:t>
            </w:r>
            <w:r>
              <w:rPr>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8.09. Certain ERISA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160</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8.10. Flood Laws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8.11. Quebec Security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8.12. Borrower Communications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140</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9.01. Notices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141</w:t>
            </w:r>
            <w:r>
              <w:rPr>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9.02. Waivers; Amendments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9.03. Expenses; Indemnity; Damage Waiver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146</w:t>
            </w:r>
            <w:r>
              <w:rPr>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9.04. Successors and Assigns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148</w:t>
            </w:r>
            <w:r>
              <w:rPr>
                <w:color w:val="0000FF"/>
                <w:u w:val="single"/>
                <w:bdr w:val="double" w:sz="2" w:space="1" w:color="000000"/>
              </w:rPr>
              <w:t>171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9.05. Survival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157</w:t>
            </w:r>
            <w:r>
              <w:rPr>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9.06. Counterparts; Integration; Effectiveness; Electronic Execution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158</w:t>
            </w:r>
            <w:r>
              <w:rPr>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9.07. Severability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9.08. Right of Setoff</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9.09. Governing Law; Jurisdiction; Consent to Service of Process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159</w:t>
            </w:r>
            <w:r>
              <w:rPr>
                <w:color w:val="0000FF"/>
                <w:u w:val="single"/>
                <w:bdr w:val="double" w:sz="2" w:space="1" w:color="000000"/>
              </w:rPr>
              <w:t>182</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9.10. WAIVER OF JURY TRIAL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183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9.11. Headings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183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9.12. Confidentiality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161</w:t>
            </w:r>
            <w:r>
              <w:rPr>
                <w:color w:val="0000FF"/>
                <w:u w:val="single"/>
                <w:bdr w:val="double" w:sz="2" w:space="1" w:color="000000"/>
              </w:rPr>
              <w:t>183</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9.13. Several Obligations; Nonreliance; Violation of Law</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9.14. USA PATRIOT Act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162</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9.15. Disclosure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9.16. Appointment for Perfection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9.17. Interest Rate Limitation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185</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9.18. No Fiduciary Duty, etc.</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163</w:t>
            </w:r>
            <w:r>
              <w:rPr>
                <w:color w:val="0000FF"/>
                <w:u w:val="single"/>
                <w:bdr w:val="double" w:sz="2" w:space="1" w:color="000000"/>
              </w:rPr>
              <w:t>186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9.19. Marketing Consent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186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9.20. Acknowledgement and Consent to Bail-In of Affected Financial Institutions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186</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9.21. Acknowledgement Regarding Any Supported QFCs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164</w:t>
            </w:r>
            <w:r>
              <w:rPr>
                <w:color w:val="0000FF"/>
                <w:u w:val="single"/>
                <w:bdr w:val="double" w:sz="2" w:space="1" w:color="000000"/>
              </w:rPr>
              <w:t>187</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9.22. Canadian Anti-Money Laundering Legislation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165</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9.23. Judgment Currency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ARTICLE X Loan Guaranty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rHeight w:val="120" w:hRule="atLeast"/>
        </w:trPr>
        <w:tc>
          <w:tcPr>
            <w:tcW w:w="9188" w:type="dxa"/>
            <w:tcBorders/>
            <w:vAlign w:val="center"/>
          </w:tcPr>
          <w:p>
            <w:pPr>
              <w:pStyle w:val="TableContents"/>
              <w:bidi w:val="0"/>
              <w:spacing w:before="0" w:after="283"/>
              <w:jc w:val="left"/>
              <w:rPr>
                <w:sz w:val="4"/>
                <w:szCs w:val="4"/>
              </w:rPr>
            </w:pPr>
            <w:r>
              <w:rPr>
                <w:sz w:val="4"/>
                <w:szCs w:val="4"/>
              </w:rPr>
            </w:r>
          </w:p>
        </w:tc>
        <w:tc>
          <w:tcPr>
            <w:tcW w:w="1017" w:type="dxa"/>
            <w:gridSpan w:val="4"/>
            <w:tcBorders/>
            <w:vAlign w:val="center"/>
          </w:tcPr>
          <w:p>
            <w:pPr>
              <w:pStyle w:val="TableContents"/>
              <w:bidi w:val="0"/>
              <w:spacing w:before="0" w:after="283"/>
              <w:jc w:val="left"/>
              <w:rPr>
                <w:sz w:val="4"/>
                <w:szCs w:val="4"/>
              </w:rPr>
            </w:pPr>
            <w:r>
              <w:rPr>
                <w:sz w:val="4"/>
                <w:szCs w:val="4"/>
              </w:rPr>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 Guaranty</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166</w:t>
            </w:r>
            <w:r>
              <w:rPr>
                <w:color w:val="0000FF"/>
                <w:u w:val="single"/>
                <w:bdr w:val="double" w:sz="2" w:space="1" w:color="000000"/>
              </w:rPr>
              <w:t>188</w:t>
            </w:r>
          </w:p>
        </w:tc>
        <w:tc>
          <w:tcPr>
            <w:tcW w:w="63" w:type="dxa"/>
            <w:tcBorders/>
            <w:vAlign w:val="bottom"/>
          </w:tcPr>
          <w:p>
            <w:pPr>
              <w:pStyle w:val="TableContents"/>
              <w:bidi w:val="0"/>
              <w:spacing w:before="0" w:after="283"/>
              <w:jc w:val="left"/>
              <w:rPr/>
            </w:pPr>
            <w:r>
              <w:rPr/>
              <w:t> </w:t>
            </w:r>
          </w:p>
        </w:tc>
      </w:tr>
      <w:tr>
        <w:trPr/>
        <w:tc>
          <w:tcPr>
            <w:tcW w:w="91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 Guaranty of Payment 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189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183"/>
        <w:gridCol w:w="140"/>
        <w:gridCol w:w="60"/>
        <w:gridCol w:w="759"/>
        <w:gridCol w:w="63"/>
      </w:tblGrid>
      <w:tr>
        <w:trPr/>
        <w:tc>
          <w:tcPr>
            <w:tcW w:w="918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 No Discharge or Diminishment of Loan Guaranty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189</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 Defenses Waived</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167</w:t>
            </w:r>
            <w:r>
              <w:rPr>
                <w:color w:val="0000FF"/>
                <w:u w:val="single"/>
                <w:bdr w:val="double" w:sz="2" w:space="1" w:color="000000"/>
              </w:rPr>
              <w:t>190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 Rights of Subrogation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 Reinstatement; Stay of Acceleration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190</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 Information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 Release of Loan Guarantors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168</w:t>
            </w:r>
            <w:r>
              <w:rPr>
                <w:color w:val="0000FF"/>
                <w:u w:val="single"/>
                <w:bdr w:val="double" w:sz="2" w:space="1" w:color="000000"/>
              </w:rPr>
              <w:t>191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 Taxes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191</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 Maximum Liability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 Contribution</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169</w:t>
            </w:r>
            <w:r>
              <w:rPr>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 Liability Cumulative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 Keepwell</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XI The Borrower Representative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 Appointment; Nature of Relationship</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170</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 Powers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 Employment of Agents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 Notices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193</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 Successor Borrower Representative</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 Execution of Loan Documents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 Nature and Extent of Each Borrower’s Liability</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171</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rHeight w:val="120" w:hRule="atLeast"/>
        </w:trPr>
        <w:tc>
          <w:tcPr>
            <w:tcW w:w="9183" w:type="dxa"/>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9183" w:type="dxa"/>
            <w:tcBorders/>
          </w:tcPr>
          <w:p>
            <w:pPr>
              <w:pStyle w:val="TableContents"/>
              <w:bidi w:val="0"/>
              <w:spacing w:before="0" w:after="0"/>
              <w:jc w:val="left"/>
              <w:rPr>
                <w:rFonts w:ascii="Times New Roman" w:hAnsi="Times New Roman"/>
                <w:sz w:val="20"/>
              </w:rPr>
            </w:pPr>
            <w:r>
              <w:rPr>
                <w:rFonts w:ascii="Times New Roman" w:hAnsi="Times New Roman"/>
                <w:sz w:val="20"/>
              </w:rPr>
              <w:t>ARTICLE XII Collateral Allocation Mechanism</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strike/>
                <w:color w:val="FF0000"/>
              </w:rPr>
              <w:t>172</w:t>
            </w:r>
            <w:r>
              <w:rPr>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SCHEDULES:</w:t>
            </w:r>
          </w:p>
        </w:tc>
      </w:tr>
      <w:tr>
        <w:trPr/>
        <w:tc>
          <w:tcPr>
            <w:tcW w:w="10205" w:type="dxa"/>
            <w:tcBorders/>
          </w:tcPr>
          <w:p>
            <w:pPr>
              <w:pStyle w:val="TableContents"/>
              <w:bidi w:val="0"/>
              <w:spacing w:before="0" w:after="283"/>
              <w:jc w:val="left"/>
              <w:rPr/>
            </w:pPr>
            <w:r>
              <w:rPr/>
              <w:t>Commitment Schedule</w:t>
            </w:r>
          </w:p>
        </w:tc>
      </w:tr>
      <w:tr>
        <w:trPr/>
        <w:tc>
          <w:tcPr>
            <w:tcW w:w="10205" w:type="dxa"/>
            <w:tcBorders/>
          </w:tcPr>
          <w:p>
            <w:pPr>
              <w:pStyle w:val="TableContents"/>
              <w:bidi w:val="0"/>
              <w:spacing w:before="0" w:after="283"/>
              <w:jc w:val="left"/>
              <w:rPr/>
            </w:pPr>
            <w:r>
              <w:rPr/>
              <w:t>Schedule 1.01 – Existing Letters of Credit</w:t>
            </w:r>
          </w:p>
        </w:tc>
      </w:tr>
      <w:tr>
        <w:trPr/>
        <w:tc>
          <w:tcPr>
            <w:tcW w:w="10205" w:type="dxa"/>
            <w:tcBorders/>
          </w:tcPr>
          <w:p>
            <w:pPr>
              <w:pStyle w:val="TableContents"/>
              <w:bidi w:val="0"/>
              <w:spacing w:before="0" w:after="283"/>
              <w:jc w:val="left"/>
              <w:rPr/>
            </w:pPr>
            <w:r>
              <w:rPr/>
              <w:t>Schedule 3.05 – Properties etc.</w:t>
            </w:r>
          </w:p>
        </w:tc>
      </w:tr>
      <w:tr>
        <w:trPr/>
        <w:tc>
          <w:tcPr>
            <w:tcW w:w="10205" w:type="dxa"/>
            <w:tcBorders/>
          </w:tcPr>
          <w:p>
            <w:pPr>
              <w:pStyle w:val="TableContents"/>
              <w:bidi w:val="0"/>
              <w:spacing w:before="0" w:after="283"/>
              <w:jc w:val="left"/>
              <w:rPr/>
            </w:pPr>
            <w:r>
              <w:rPr/>
              <w:t>Schedule 3.06 – Disclosed Matters</w:t>
            </w:r>
          </w:p>
        </w:tc>
      </w:tr>
      <w:tr>
        <w:trPr/>
        <w:tc>
          <w:tcPr>
            <w:tcW w:w="10205" w:type="dxa"/>
            <w:tcBorders/>
          </w:tcPr>
          <w:p>
            <w:pPr>
              <w:pStyle w:val="TableContents"/>
              <w:bidi w:val="0"/>
              <w:spacing w:before="0" w:after="283"/>
              <w:jc w:val="left"/>
              <w:rPr/>
            </w:pPr>
            <w:r>
              <w:rPr/>
              <w:t>Schedule 3.10(b) – Canadian Pension Plans</w:t>
            </w:r>
          </w:p>
        </w:tc>
      </w:tr>
      <w:tr>
        <w:trPr/>
        <w:tc>
          <w:tcPr>
            <w:tcW w:w="10205" w:type="dxa"/>
            <w:tcBorders/>
          </w:tcPr>
          <w:p>
            <w:pPr>
              <w:pStyle w:val="TableContents"/>
              <w:bidi w:val="0"/>
              <w:spacing w:before="0" w:after="283"/>
              <w:jc w:val="left"/>
              <w:rPr/>
            </w:pPr>
            <w:r>
              <w:rPr/>
              <w:t>Schedule 3.13 – Insurance</w:t>
            </w:r>
          </w:p>
        </w:tc>
      </w:tr>
      <w:tr>
        <w:trPr/>
        <w:tc>
          <w:tcPr>
            <w:tcW w:w="10205" w:type="dxa"/>
            <w:tcBorders/>
          </w:tcPr>
          <w:p>
            <w:pPr>
              <w:pStyle w:val="TableContents"/>
              <w:bidi w:val="0"/>
              <w:spacing w:before="0" w:after="283"/>
              <w:jc w:val="left"/>
              <w:rPr/>
            </w:pPr>
            <w:r>
              <w:rPr/>
              <w:t>Schedule 3.14 – Capitalization and Subsidiaries</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Schedule 5.14 – Post-Closing Requirements</w:t>
            </w:r>
          </w:p>
          <w:p>
            <w:pPr>
              <w:pStyle w:val="TableContents"/>
              <w:bidi w:val="0"/>
              <w:spacing w:before="0" w:after="20"/>
              <w:jc w:val="left"/>
              <w:rPr>
                <w:rFonts w:ascii="Times New Roman" w:hAnsi="Times New Roman"/>
                <w:sz w:val="20"/>
              </w:rPr>
            </w:pPr>
            <w:r>
              <w:rPr>
                <w:rFonts w:ascii="Times New Roman" w:hAnsi="Times New Roman"/>
                <w:sz w:val="20"/>
              </w:rPr>
              <w:t>Schedule 6.01 – Existing Indebtedness</w:t>
            </w:r>
          </w:p>
        </w:tc>
      </w:tr>
      <w:tr>
        <w:trPr/>
        <w:tc>
          <w:tcPr>
            <w:tcW w:w="10205" w:type="dxa"/>
            <w:tcBorders/>
          </w:tcPr>
          <w:p>
            <w:pPr>
              <w:pStyle w:val="TableContents"/>
              <w:bidi w:val="0"/>
              <w:spacing w:before="0" w:after="283"/>
              <w:jc w:val="left"/>
              <w:rPr/>
            </w:pPr>
            <w:r>
              <w:rPr/>
              <w:t>Schedule 6.02 – Existing Liens</w:t>
            </w:r>
          </w:p>
        </w:tc>
      </w:tr>
      <w:tr>
        <w:trPr/>
        <w:tc>
          <w:tcPr>
            <w:tcW w:w="10205" w:type="dxa"/>
            <w:tcBorders/>
          </w:tcPr>
          <w:p>
            <w:pPr>
              <w:pStyle w:val="TableContents"/>
              <w:bidi w:val="0"/>
              <w:spacing w:before="0" w:after="283"/>
              <w:jc w:val="left"/>
              <w:rPr/>
            </w:pPr>
            <w:r>
              <w:rPr/>
              <w:t>Schedule 6.04 – Existing Investments</w:t>
            </w:r>
          </w:p>
        </w:tc>
      </w:tr>
      <w:tr>
        <w:trPr/>
        <w:tc>
          <w:tcPr>
            <w:tcW w:w="10205" w:type="dxa"/>
            <w:tcBorders/>
          </w:tcPr>
          <w:p>
            <w:pPr>
              <w:pStyle w:val="TableContents"/>
              <w:bidi w:val="0"/>
              <w:spacing w:before="0" w:after="283"/>
              <w:jc w:val="left"/>
              <w:rPr/>
            </w:pPr>
            <w:r>
              <w:rPr/>
              <w:t>Schedule 6.10 – Existing Restrictions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EXHIBITS:</w:t>
            </w:r>
          </w:p>
        </w:tc>
      </w:tr>
      <w:tr>
        <w:trPr/>
        <w:tc>
          <w:tcPr>
            <w:tcW w:w="10205" w:type="dxa"/>
            <w:tcBorders/>
          </w:tcPr>
          <w:p>
            <w:pPr>
              <w:pStyle w:val="TableContents"/>
              <w:bidi w:val="0"/>
              <w:spacing w:before="0" w:after="283"/>
              <w:jc w:val="left"/>
              <w:rPr/>
            </w:pPr>
            <w:r>
              <w:rPr/>
              <w:t>Exhibit A – Assignment and Assumption</w:t>
            </w:r>
          </w:p>
        </w:tc>
      </w:tr>
      <w:tr>
        <w:trPr/>
        <w:tc>
          <w:tcPr>
            <w:tcW w:w="10205" w:type="dxa"/>
            <w:tcBorders/>
          </w:tcPr>
          <w:p>
            <w:pPr>
              <w:pStyle w:val="TableContents"/>
              <w:bidi w:val="0"/>
              <w:spacing w:before="0" w:after="283"/>
              <w:jc w:val="left"/>
              <w:rPr/>
            </w:pPr>
            <w:r>
              <w:rPr/>
              <w:t xml:space="preserve">Exhibit B-1 – </w:t>
            </w:r>
            <w:r>
              <w:rPr>
                <w:b/>
              </w:rPr>
              <w:t>[</w:t>
            </w:r>
            <w:r>
              <w:rPr/>
              <w:t>Reserved</w:t>
            </w:r>
            <w:r>
              <w:rPr>
                <w:b/>
              </w:rPr>
              <w:t>]</w:t>
            </w:r>
          </w:p>
        </w:tc>
      </w:tr>
      <w:tr>
        <w:trPr/>
        <w:tc>
          <w:tcPr>
            <w:tcW w:w="10205" w:type="dxa"/>
            <w:tcBorders/>
          </w:tcPr>
          <w:p>
            <w:pPr>
              <w:pStyle w:val="TableContents"/>
              <w:bidi w:val="0"/>
              <w:spacing w:before="0" w:after="283"/>
              <w:jc w:val="left"/>
              <w:rPr/>
            </w:pPr>
            <w:r>
              <w:rPr/>
              <w:t xml:space="preserve">Exhibit B-2 – </w:t>
            </w:r>
            <w:r>
              <w:rPr>
                <w:b/>
              </w:rPr>
              <w:t>[</w:t>
            </w:r>
            <w:r>
              <w:rPr/>
              <w:t>Reserved</w:t>
            </w:r>
            <w:r>
              <w:rPr>
                <w:b/>
              </w:rPr>
              <w:t>]</w:t>
            </w:r>
          </w:p>
        </w:tc>
      </w:tr>
      <w:tr>
        <w:trPr/>
        <w:tc>
          <w:tcPr>
            <w:tcW w:w="10205" w:type="dxa"/>
            <w:tcBorders/>
          </w:tcPr>
          <w:p>
            <w:pPr>
              <w:pStyle w:val="TableContents"/>
              <w:bidi w:val="0"/>
              <w:spacing w:before="0" w:after="283"/>
              <w:jc w:val="left"/>
              <w:rPr/>
            </w:pPr>
            <w:r>
              <w:rPr/>
              <w:t>Exhibit C-1 – U.S. Tax Compliance Certificate (For Foreign Lenders That Are Not Partnerships For U.S. Federal Income Tax Purposes)</w:t>
            </w:r>
          </w:p>
        </w:tc>
      </w:tr>
      <w:tr>
        <w:trPr/>
        <w:tc>
          <w:tcPr>
            <w:tcW w:w="10205" w:type="dxa"/>
            <w:tcBorders/>
          </w:tcPr>
          <w:p>
            <w:pPr>
              <w:pStyle w:val="TableContents"/>
              <w:bidi w:val="0"/>
              <w:spacing w:before="0" w:after="283"/>
              <w:jc w:val="left"/>
              <w:rPr/>
            </w:pPr>
            <w:r>
              <w:rPr/>
              <w:t>Exhibit C-2 – U.S. Tax Compliance Certificate (For Foreign Participants That Are Not Partnerships For U.S. Federal Income Tax Purposes)</w:t>
            </w:r>
          </w:p>
        </w:tc>
      </w:tr>
      <w:tr>
        <w:trPr/>
        <w:tc>
          <w:tcPr>
            <w:tcW w:w="10205" w:type="dxa"/>
            <w:tcBorders/>
          </w:tcPr>
          <w:p>
            <w:pPr>
              <w:pStyle w:val="TableContents"/>
              <w:bidi w:val="0"/>
              <w:spacing w:before="0" w:after="283"/>
              <w:jc w:val="left"/>
              <w:rPr/>
            </w:pPr>
            <w:r>
              <w:rPr/>
              <w:t>Exhibit C-3 – U.S. Tax Compliance Certificate (For Foreign Participants That Are Partnerships For U.S. Federal Income Tax Purposes)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Exhibit C-4 – U.S. Tax Compliance Certificate (For Foreign Lenders That Are Partnerships For U.S. Federal Income Tax Purposes)</w:t>
            </w:r>
          </w:p>
        </w:tc>
      </w:tr>
      <w:tr>
        <w:trPr/>
        <w:tc>
          <w:tcPr>
            <w:tcW w:w="10205" w:type="dxa"/>
            <w:tcBorders/>
          </w:tcPr>
          <w:p>
            <w:pPr>
              <w:pStyle w:val="TableContents"/>
              <w:bidi w:val="0"/>
              <w:spacing w:before="0" w:after="283"/>
              <w:jc w:val="left"/>
              <w:rPr/>
            </w:pPr>
            <w:r>
              <w:rPr/>
              <w:t>Exhibit D – Compliance Certificate</w:t>
            </w:r>
          </w:p>
        </w:tc>
      </w:tr>
      <w:tr>
        <w:trPr/>
        <w:tc>
          <w:tcPr>
            <w:tcW w:w="10205" w:type="dxa"/>
            <w:tcBorders/>
          </w:tcPr>
          <w:p>
            <w:pPr>
              <w:pStyle w:val="TableContents"/>
              <w:bidi w:val="0"/>
              <w:spacing w:before="0" w:after="283"/>
              <w:jc w:val="left"/>
              <w:rPr/>
            </w:pPr>
            <w:r>
              <w:rPr/>
              <w:t>Exhibit E – Joinder Agreement</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Exhibit F – Affiliate Lender Assignment and Assumption</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Exhibit G – Solvency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SECOND AMENDED AND RESTATED CREDIT AGREEMENT dated as of December 18, 2025 (as it may be amended or modified from time to time, this “</w:t>
      </w:r>
      <w:r>
        <w:rPr>
          <w:rFonts w:ascii="Times New Roman" w:hAnsi="Times New Roman"/>
          <w:sz w:val="20"/>
          <w:u w:val="single"/>
        </w:rPr>
        <w:t>Agreement</w:t>
      </w:r>
      <w:r>
        <w:rPr>
          <w:rFonts w:ascii="Times New Roman" w:hAnsi="Times New Roman"/>
          <w:sz w:val="20"/>
        </w:rPr>
        <w:t>”), among DISTRIBUTION SOLUTIONS GROUP, INC., a Delaware corporation (formerly known as Lawson Products, Inc., the “</w:t>
      </w:r>
      <w:r>
        <w:rPr>
          <w:rFonts w:ascii="Times New Roman" w:hAnsi="Times New Roman"/>
          <w:sz w:val="20"/>
          <w:u w:val="single"/>
        </w:rPr>
        <w:t>Company</w:t>
      </w:r>
      <w:r>
        <w:rPr>
          <w:rFonts w:ascii="Times New Roman" w:hAnsi="Times New Roman"/>
          <w:sz w:val="20"/>
        </w:rPr>
        <w:t>”)</w:t>
      </w:r>
      <w:r>
        <w:rPr>
          <w:rFonts w:ascii="Times New Roman" w:hAnsi="Times New Roman"/>
          <w:i/>
          <w:sz w:val="20"/>
        </w:rPr>
        <w:t xml:space="preserve">, </w:t>
      </w:r>
      <w:r>
        <w:rPr>
          <w:rFonts w:ascii="Times New Roman" w:hAnsi="Times New Roman"/>
          <w:sz w:val="20"/>
        </w:rPr>
        <w:t>LAWSON PRODUCTS, INC., an Illinois corporation (“</w:t>
      </w:r>
      <w:r>
        <w:rPr>
          <w:rFonts w:ascii="Times New Roman" w:hAnsi="Times New Roman"/>
          <w:sz w:val="20"/>
          <w:u w:val="single"/>
        </w:rPr>
        <w:t>Lawson Illinois</w:t>
      </w:r>
      <w:r>
        <w:rPr>
          <w:rFonts w:ascii="Times New Roman" w:hAnsi="Times New Roman"/>
          <w:sz w:val="20"/>
        </w:rPr>
        <w:t>”), BARON DIVESTITURE COMPANY, an Illinois corporation (“</w:t>
      </w:r>
      <w:r>
        <w:rPr>
          <w:rFonts w:ascii="Times New Roman" w:hAnsi="Times New Roman"/>
          <w:sz w:val="20"/>
          <w:u w:val="single"/>
        </w:rPr>
        <w:t>Baron</w:t>
      </w:r>
      <w:r>
        <w:rPr>
          <w:rFonts w:ascii="Times New Roman" w:hAnsi="Times New Roman"/>
          <w:sz w:val="20"/>
        </w:rPr>
        <w:t>”), LAWSON PRODUCTS CANADA INC., a British Columbia corporation (“</w:t>
      </w:r>
      <w:r>
        <w:rPr>
          <w:rFonts w:ascii="Times New Roman" w:hAnsi="Times New Roman"/>
          <w:sz w:val="20"/>
          <w:u w:val="single"/>
        </w:rPr>
        <w:t>Lawson Products Canada</w:t>
      </w:r>
      <w:r>
        <w:rPr>
          <w:rFonts w:ascii="Times New Roman" w:hAnsi="Times New Roman"/>
          <w:sz w:val="20"/>
        </w:rPr>
        <w:t>”), THE BOLT SUPPLY HOUSE LTD., an Alberta corporation (“</w:t>
      </w:r>
      <w:r>
        <w:rPr>
          <w:rFonts w:ascii="Times New Roman" w:hAnsi="Times New Roman"/>
          <w:sz w:val="20"/>
          <w:u w:val="single"/>
        </w:rPr>
        <w:t>Bolt Supply</w:t>
      </w:r>
      <w:r>
        <w:rPr>
          <w:rFonts w:ascii="Times New Roman" w:hAnsi="Times New Roman"/>
          <w:sz w:val="20"/>
        </w:rPr>
        <w:t>” and together with Lawson Products Canada, individually, each a “</w:t>
      </w:r>
      <w:r>
        <w:rPr>
          <w:rFonts w:ascii="Times New Roman" w:hAnsi="Times New Roman"/>
          <w:sz w:val="20"/>
          <w:u w:val="single"/>
        </w:rPr>
        <w:t>Canadian Borrower</w:t>
      </w:r>
      <w:r>
        <w:rPr>
          <w:rFonts w:ascii="Times New Roman" w:hAnsi="Times New Roman"/>
          <w:sz w:val="20"/>
        </w:rPr>
        <w:t>” and, collectively, the “</w:t>
      </w:r>
      <w:r>
        <w:rPr>
          <w:rFonts w:ascii="Times New Roman" w:hAnsi="Times New Roman"/>
          <w:sz w:val="20"/>
          <w:u w:val="single"/>
        </w:rPr>
        <w:t>Canadian Borrowers</w:t>
      </w:r>
      <w:r>
        <w:rPr>
          <w:rFonts w:ascii="Times New Roman" w:hAnsi="Times New Roman"/>
          <w:sz w:val="20"/>
        </w:rPr>
        <w:t>”), GS OPERATING, LLC, a Delaware limited liability company (“</w:t>
      </w:r>
      <w:r>
        <w:rPr>
          <w:rFonts w:ascii="Times New Roman" w:hAnsi="Times New Roman"/>
          <w:sz w:val="20"/>
          <w:u w:val="single"/>
        </w:rPr>
        <w:t>GS Operating</w:t>
      </w:r>
      <w:r>
        <w:rPr>
          <w:rFonts w:ascii="Times New Roman" w:hAnsi="Times New Roman"/>
          <w:sz w:val="20"/>
        </w:rPr>
        <w:t>”), and TESTEQUITY LLC, a Delaware limited liability company (“</w:t>
      </w:r>
      <w:r>
        <w:rPr>
          <w:rFonts w:ascii="Times New Roman" w:hAnsi="Times New Roman"/>
          <w:sz w:val="20"/>
          <w:u w:val="single"/>
        </w:rPr>
        <w:t>TestEquity</w:t>
      </w:r>
      <w:r>
        <w:rPr>
          <w:rFonts w:ascii="Times New Roman" w:hAnsi="Times New Roman"/>
          <w:sz w:val="20"/>
        </w:rPr>
        <w:t>” and together with the Company, Lawson Illinois, Baron and GS Operating, individually, each a “</w:t>
      </w:r>
      <w:r>
        <w:rPr>
          <w:rFonts w:ascii="Times New Roman" w:hAnsi="Times New Roman"/>
          <w:sz w:val="20"/>
          <w:u w:val="single"/>
        </w:rPr>
        <w:t>U.S. Borrower</w:t>
      </w:r>
      <w:r>
        <w:rPr>
          <w:rFonts w:ascii="Times New Roman" w:hAnsi="Times New Roman"/>
          <w:sz w:val="20"/>
        </w:rPr>
        <w:t>” and, collectively, the “</w:t>
      </w:r>
      <w:r>
        <w:rPr>
          <w:rFonts w:ascii="Times New Roman" w:hAnsi="Times New Roman"/>
          <w:sz w:val="20"/>
          <w:u w:val="single"/>
        </w:rPr>
        <w:t>U.S. Borrowers</w:t>
      </w:r>
      <w:r>
        <w:rPr>
          <w:rFonts w:ascii="Times New Roman" w:hAnsi="Times New Roman"/>
          <w:sz w:val="20"/>
        </w:rPr>
        <w:t>”; the Canadian Borrowers and the U.S. Borrowers, individually, each a “</w:t>
      </w:r>
      <w:r>
        <w:rPr>
          <w:rFonts w:ascii="Times New Roman" w:hAnsi="Times New Roman"/>
          <w:sz w:val="20"/>
          <w:u w:val="single"/>
        </w:rPr>
        <w:t>Borrower</w:t>
      </w:r>
      <w:r>
        <w:rPr>
          <w:rFonts w:ascii="Times New Roman" w:hAnsi="Times New Roman"/>
          <w:sz w:val="20"/>
        </w:rPr>
        <w:t>” and, collectively, the “</w:t>
      </w:r>
      <w:r>
        <w:rPr>
          <w:rFonts w:ascii="Times New Roman" w:hAnsi="Times New Roman"/>
          <w:sz w:val="20"/>
          <w:u w:val="single"/>
        </w:rPr>
        <w:t>Borrowers</w:t>
      </w:r>
      <w:r>
        <w:rPr>
          <w:rFonts w:ascii="Times New Roman" w:hAnsi="Times New Roman"/>
          <w:sz w:val="20"/>
        </w:rPr>
        <w:t xml:space="preserve">”), the other Loan Parties party hereto, the Lenders party hereto, and JPMORGAN CHASE BANK, N.A., as Administrative Agent. </w:t>
      </w:r>
    </w:p>
    <w:p>
      <w:pPr>
        <w:pStyle w:val="TextBody"/>
        <w:bidi w:val="0"/>
        <w:spacing w:before="240" w:after="0"/>
        <w:jc w:val="left"/>
        <w:rPr>
          <w:rFonts w:ascii="Times New Roman" w:hAnsi="Times New Roman"/>
          <w:sz w:val="20"/>
        </w:rPr>
      </w:pPr>
      <w:r>
        <w:rPr>
          <w:rFonts w:ascii="Times New Roman" w:hAnsi="Times New Roman"/>
          <w:sz w:val="20"/>
        </w:rPr>
        <w:t>WHEREAS, the Company, the other loan parties party thereto, the lenders party thereto and JPMorgan Chase Bank, N.A., as administrative agent thereunder, are currently party to the Amended and Restated Credit Agreement, dated as of April 1, 2022 (as amended, supplemented or otherwise modified prior to the Effective Date, the “</w:t>
      </w:r>
      <w:r>
        <w:rPr>
          <w:rFonts w:ascii="Times New Roman" w:hAnsi="Times New Roman"/>
          <w:sz w:val="20"/>
          <w:u w:val="single"/>
        </w:rPr>
        <w:t>Existing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the other Loan Parties party hereto, the Lenders party hereto and the Administrative Agent have agreed to enter into this Agreement in order to (i) amend and restate the Existing Credit Agreement in its entirety, (ii) extend the maturity date in respect of the existing revolving credit facility under the Existing Credit Agreement, (iii) provide for additional Term Loans and Revolving Commitments hereunder, (iv) re-evidence the “Obligations” under, and as defined in, the Existing Credit Agreement, which shall be repayable in accordance with the terms of this Agreement, and (v) set forth the terms and conditions under which the Lenders will, from time to time, make loans and extend other financial accommodations to or for the benefit of the Borrowers;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Borrowers and the Subsidiaries outstanding thereunder, which shall be payable in accordance with the terms 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also the intent of the Company and the other Loan Parties party hereto to confirm that all obligations under the applicable “Loan Documents” (as referred to and defined in the Existing Credit Agreement) shall continue in full force and effect as modified or restated by the Loan Documents (as referred to and defined herein) and that, from and after the Effective Date, all references to the “Credit Agreement” contained in any such existing “Loan Documents” shall be deemed to refer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mutual covenants contained herein, the parties hereto agree that the Existing Credit Agreement is hereby amended and restated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ABR</w:t>
      </w:r>
      <w:r>
        <w:rPr>
          <w:rFonts w:ascii="Times New Roman" w:hAnsi="Times New Roman"/>
          <w:sz w:val="20"/>
        </w:rPr>
        <w:t xml:space="preserve">”, when used in reference to any Loan or Borrowing, refers to whether such Loan, or the Loans comprising such Borrowing, is bearing interest at a rate determined by reference to the Alternate Base Rate. All ABR Loans shall be denominated in Dollars. </w:t>
      </w:r>
    </w:p>
    <w:p>
      <w:pPr>
        <w:pStyle w:val="TextBody"/>
        <w:bidi w:val="0"/>
        <w:spacing w:before="240" w:after="0"/>
        <w:jc w:val="left"/>
        <w:rPr/>
      </w:pPr>
      <w:r>
        <w:rPr/>
        <w:t>“</w:t>
      </w:r>
      <w:r>
        <w:rPr>
          <w:rFonts w:ascii="Times New Roman" w:hAnsi="Times New Roman"/>
          <w:sz w:val="20"/>
          <w:u w:val="single"/>
        </w:rPr>
        <w:t>Account</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Account Debtor</w:t>
      </w:r>
      <w:r>
        <w:rPr>
          <w:rFonts w:ascii="Times New Roman" w:hAnsi="Times New Roman"/>
          <w:sz w:val="20"/>
        </w:rPr>
        <w:t xml:space="preserve">” means any Person obligated on an Account. </w:t>
      </w:r>
    </w:p>
    <w:p>
      <w:pPr>
        <w:pStyle w:val="TextBody"/>
        <w:bidi w:val="0"/>
        <w:spacing w:before="240" w:after="0"/>
        <w:jc w:val="left"/>
        <w:rPr/>
      </w:pPr>
      <w:r>
        <w:rPr/>
        <w:t>“</w:t>
      </w:r>
      <w:r>
        <w:rPr>
          <w:rFonts w:ascii="Times New Roman" w:hAnsi="Times New Roman"/>
          <w:sz w:val="20"/>
          <w:u w:val="single"/>
        </w:rPr>
        <w:t>Acquired EBITDA</w:t>
      </w:r>
      <w:r>
        <w:rPr>
          <w:rFonts w:ascii="Times New Roman" w:hAnsi="Times New Roman"/>
          <w:sz w:val="20"/>
        </w:rPr>
        <w:t xml:space="preserve">” means, with respect to any Acquired Entity or Business for any period, the amount for such period of EBITDA of such Acquired Entity or Business, all as determined on a consolidated basis for such Acquired Entity or Business and as if references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 the definition of “EBITDA” (and in the component definitions used therein) were references to such Acquired Entity or Business and its subsidiaries. </w:t>
      </w:r>
    </w:p>
    <w:p>
      <w:pPr>
        <w:pStyle w:val="TextBody"/>
        <w:bidi w:val="0"/>
        <w:spacing w:before="240" w:after="0"/>
        <w:jc w:val="left"/>
        <w:rPr/>
      </w:pPr>
      <w:r>
        <w:rPr/>
        <w:t>“</w:t>
      </w:r>
      <w:r>
        <w:rPr>
          <w:rFonts w:ascii="Times New Roman" w:hAnsi="Times New Roman"/>
          <w:sz w:val="20"/>
          <w:u w:val="single"/>
        </w:rPr>
        <w:t>Acquired Entity or Business</w:t>
      </w:r>
      <w:r>
        <w:rPr>
          <w:rFonts w:ascii="Times New Roman" w:hAnsi="Times New Roman"/>
          <w:sz w:val="20"/>
        </w:rPr>
        <w:t xml:space="preserve">” has the meaning assigned to such term in the definition of “EBITDA”.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any transaction, or any series of related transactions, consummated on or after the Effective Date, by which any Loan Party or Restricted Subsidiary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 </w:t>
      </w:r>
    </w:p>
    <w:p>
      <w:pPr>
        <w:pStyle w:val="TextBody"/>
        <w:bidi w:val="0"/>
        <w:spacing w:before="240" w:after="0"/>
        <w:jc w:val="left"/>
        <w:rPr/>
      </w:pPr>
      <w:r>
        <w:rPr/>
        <w:t>“</w:t>
      </w:r>
      <w:r>
        <w:rPr>
          <w:rFonts w:ascii="Times New Roman" w:hAnsi="Times New Roman"/>
          <w:sz w:val="20"/>
          <w:u w:val="single"/>
        </w:rPr>
        <w:t>Adjusted Daily Simple CORRA</w:t>
      </w:r>
      <w:r>
        <w:rPr>
          <w:rFonts w:ascii="Times New Roman" w:hAnsi="Times New Roman"/>
          <w:sz w:val="20"/>
        </w:rPr>
        <w:t xml:space="preserve">” means, with respect to any RFR Borrowing denominated in Canadian Dollars, an interest rate per annum equal to (a) Daily Simple CORRA, plus (b) 0.29547%; provided that if the Adjusted Daily Simple CORRA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Daily Simple SOFR</w:t>
      </w:r>
      <w:r>
        <w:rPr>
          <w:rFonts w:ascii="Times New Roman" w:hAnsi="Times New Roman"/>
          <w:sz w:val="20"/>
        </w:rPr>
        <w:t xml:space="preserve">” means, with respect to any RFR Borrowing denominated in Dollars, an interest rate per annum equal to Daily Simple SOFR provided that if the Adjusted Daily Simple SOFR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Term CORRA Rate</w:t>
      </w:r>
      <w:r>
        <w:rPr>
          <w:rFonts w:ascii="Times New Roman" w:hAnsi="Times New Roman"/>
          <w:sz w:val="20"/>
        </w:rPr>
        <w:t xml:space="preserve">” means, for purposes of any calculation, the rate per annum equal to (a) Term CORRA for such calculation plus (b) 0.29547% for a one month interest period or 0.32138% for a three month interest period; provided that if the Adjusted Term CORRA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Adjusted Term SOFR Rate</w:t>
      </w:r>
      <w:r>
        <w:rPr>
          <w:rFonts w:ascii="Times New Roman" w:hAnsi="Times New Roman"/>
          <w:sz w:val="20"/>
        </w:rPr>
        <w:t xml:space="preserve">” means, with respect to any Term Benchmark Borrowing for any Interest Period or for any ABR Borrowing based on the Adjusted Term SOFR Rate, an interest rate per annum equal to the Term SOFR Rate for such Interest Period; provided that if the Adjusted Term SOFR Rate as so determined would be less than the Floor, such rate shall be deemed to be equal to the Floor for the purposes of this Agreement.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JPMorgan Chase Bank, N.A. (or any of its designated branch offices or affiliates), in its capacity as administrative agent for the Lenders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to the Borrowers or any Lender, as the context requires.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specified Person. </w:t>
      </w:r>
    </w:p>
    <w:p>
      <w:pPr>
        <w:pStyle w:val="TextBody"/>
        <w:bidi w:val="0"/>
        <w:spacing w:before="240" w:after="0"/>
        <w:jc w:val="left"/>
        <w:rPr/>
      </w:pPr>
      <w:r>
        <w:rPr/>
        <w:t>“</w:t>
      </w:r>
      <w:r>
        <w:rPr>
          <w:rFonts w:ascii="Times New Roman" w:hAnsi="Times New Roman"/>
          <w:sz w:val="20"/>
          <w:u w:val="single"/>
        </w:rPr>
        <w:t>Affiliate Lender Cap</w:t>
      </w:r>
      <w:r>
        <w:rPr>
          <w:rFonts w:ascii="Times New Roman" w:hAnsi="Times New Roman"/>
          <w:sz w:val="20"/>
        </w:rPr>
        <w:t xml:space="preserve">” has the meaning assigned to it in Section 9.04(f). </w:t>
      </w:r>
    </w:p>
    <w:p>
      <w:pPr>
        <w:pStyle w:val="TextBody"/>
        <w:bidi w:val="0"/>
        <w:spacing w:before="240" w:after="0"/>
        <w:jc w:val="left"/>
        <w:rPr/>
      </w:pPr>
      <w:r>
        <w:rPr/>
        <w:t>“</w:t>
      </w:r>
      <w:r>
        <w:rPr>
          <w:rFonts w:ascii="Times New Roman" w:hAnsi="Times New Roman"/>
          <w:sz w:val="20"/>
          <w:u w:val="single"/>
        </w:rPr>
        <w:t>Affiliate Lenders</w:t>
      </w:r>
      <w:r>
        <w:rPr>
          <w:rFonts w:ascii="Times New Roman" w:hAnsi="Times New Roman"/>
          <w:sz w:val="20"/>
        </w:rPr>
        <w:t xml:space="preserve">” means, collectively,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and its respective Affiliates (other than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Subsidiaries and any natural person). </w:t>
      </w:r>
    </w:p>
    <w:p>
      <w:pPr>
        <w:pStyle w:val="TextBody"/>
        <w:bidi w:val="0"/>
        <w:spacing w:before="240" w:after="0"/>
        <w:jc w:val="left"/>
        <w:rPr/>
      </w:pPr>
      <w:r>
        <w:rPr/>
        <w:t>“</w:t>
      </w:r>
      <w:r>
        <w:rPr>
          <w:rFonts w:ascii="Times New Roman" w:hAnsi="Times New Roman"/>
          <w:sz w:val="20"/>
          <w:u w:val="single"/>
        </w:rPr>
        <w:t>Agent Indemnitee</w:t>
      </w:r>
      <w:r>
        <w:rPr>
          <w:rFonts w:ascii="Times New Roman" w:hAnsi="Times New Roman"/>
          <w:sz w:val="20"/>
        </w:rPr>
        <w:t xml:space="preserve">” has the meaning assigned to it in Section 9.03(c). </w:t>
      </w:r>
    </w:p>
    <w:p>
      <w:pPr>
        <w:pStyle w:val="TextBody"/>
        <w:bidi w:val="0"/>
        <w:spacing w:before="240" w:after="0"/>
        <w:jc w:val="left"/>
        <w:rPr/>
      </w:pPr>
      <w:r>
        <w:rPr/>
        <w:t>“</w:t>
      </w:r>
      <w:r>
        <w:rPr>
          <w:rFonts w:ascii="Times New Roman" w:hAnsi="Times New Roman"/>
          <w:sz w:val="20"/>
          <w:u w:val="single"/>
        </w:rPr>
        <w:t>Aggregate Credit Exposure</w:t>
      </w:r>
      <w:r>
        <w:rPr>
          <w:rFonts w:ascii="Times New Roman" w:hAnsi="Times New Roman"/>
          <w:sz w:val="20"/>
        </w:rPr>
        <w:t xml:space="preserve">” means, at any time, the aggregate Credit Exposure of all the Lenders at such time. </w:t>
      </w:r>
    </w:p>
    <w:p>
      <w:pPr>
        <w:pStyle w:val="TextBody"/>
        <w:bidi w:val="0"/>
        <w:spacing w:before="240" w:after="0"/>
        <w:jc w:val="left"/>
        <w:rPr/>
      </w:pPr>
      <w:r>
        <w:rPr/>
        <w:t>“</w:t>
      </w:r>
      <w:r>
        <w:rPr>
          <w:rFonts w:ascii="Times New Roman" w:hAnsi="Times New Roman"/>
          <w:sz w:val="20"/>
          <w:u w:val="single"/>
        </w:rPr>
        <w:t>Aggregate Revolving Exposure</w:t>
      </w:r>
      <w:r>
        <w:rPr>
          <w:rFonts w:ascii="Times New Roman" w:hAnsi="Times New Roman"/>
          <w:sz w:val="20"/>
        </w:rPr>
        <w:t xml:space="preserve">” means, at any time, the aggregate Revolving Exposure of all the Lenders at such time. </w:t>
      </w:r>
    </w:p>
    <w:p>
      <w:pPr>
        <w:pStyle w:val="TextBody"/>
        <w:bidi w:val="0"/>
        <w:spacing w:before="240" w:after="0"/>
        <w:jc w:val="left"/>
        <w:rPr/>
      </w:pPr>
      <w:r>
        <w:rPr/>
        <w:t>“</w:t>
      </w:r>
      <w:r>
        <w:rPr>
          <w:rFonts w:ascii="Times New Roman" w:hAnsi="Times New Roman"/>
          <w:sz w:val="20"/>
          <w:u w:val="single"/>
        </w:rPr>
        <w:t>Agreed Currency</w:t>
      </w:r>
      <w:r>
        <w:rPr>
          <w:rFonts w:ascii="Times New Roman" w:hAnsi="Times New Roman"/>
          <w:sz w:val="20"/>
        </w:rPr>
        <w:t xml:space="preserve">” means (a) dollars or (b) any Alternative Currency. </w:t>
      </w:r>
    </w:p>
    <w:p>
      <w:pPr>
        <w:pStyle w:val="TextBody"/>
        <w:bidi w:val="0"/>
        <w:spacing w:before="240" w:after="0"/>
        <w:jc w:val="left"/>
        <w:rPr/>
      </w:pPr>
      <w:r>
        <w:rPr/>
        <w:t>“</w:t>
      </w:r>
      <w:r>
        <w:rPr>
          <w:rFonts w:ascii="Times New Roman" w:hAnsi="Times New Roman"/>
          <w:sz w:val="20"/>
          <w:u w:val="single"/>
        </w:rPr>
        <w:t>All-In Yield</w:t>
      </w:r>
      <w:r>
        <w:rPr>
          <w:rFonts w:ascii="Times New Roman" w:hAnsi="Times New Roman"/>
          <w:sz w:val="20"/>
        </w:rPr>
        <w:t xml:space="preserve">” means, as to any applicable Indebtedness, the yield thereof, whether in the form of interest rate, margin, OID, upfront fees, an interest rate floor (with such increased amount being equated to interest margins for purposes of determining any increase to the Applicable Rate), or otherwise; </w:t>
      </w:r>
      <w:r>
        <w:rPr>
          <w:rFonts w:ascii="Times New Roman" w:hAnsi="Times New Roman"/>
          <w:sz w:val="20"/>
          <w:u w:val="single"/>
        </w:rPr>
        <w:t>provided</w:t>
      </w:r>
      <w:r>
        <w:rPr>
          <w:rFonts w:ascii="Times New Roman" w:hAnsi="Times New Roman"/>
          <w:sz w:val="20"/>
        </w:rPr>
        <w:t xml:space="preserve"> that OID and upfront fees shall be equated to interest rate assuming a 4-year life to maturity (or, if less, the stated life to maturity at the time of its incurrence of the applicable Indebtedness); and </w:t>
      </w:r>
      <w:r>
        <w:rPr>
          <w:rFonts w:ascii="Times New Roman" w:hAnsi="Times New Roman"/>
          <w:sz w:val="20"/>
          <w:u w:val="single"/>
        </w:rPr>
        <w:t>provided further</w:t>
      </w:r>
      <w:r>
        <w:rPr>
          <w:rFonts w:ascii="Times New Roman" w:hAnsi="Times New Roman"/>
          <w:sz w:val="20"/>
        </w:rPr>
        <w:t xml:space="preserve"> that “All-In Yield” shall not include arrangement fees, structuring fees or underwriting or similar fees paid to arrangers for such Indebtedness.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rate per annum equal to the greatest of (a) the Prime Rate in effect on such day, (b) the NYFRB Rate in effect on such day plus 1⁄2 of 1%, and (c) the Adjusted Term SOFR Rate for a one-month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per annum, such rate shall be deemed to be 1.00% per annum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Alternate Funding Date” means the date on which the Effective Time occurs solely to the extent that: (a) the High Yield Notes shall not have been Fully Funded on or prior to such date and (b) during the Certain Funds Period any Borrower shall have borrowed Revolving Loans pursuant to Section 4.03 and the proceeds of such Borrowing are used to pay all or a portion of the purchase price consideration for the Take-Private Transaction.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Alternative Currency</w:t>
      </w:r>
      <w:r>
        <w:rPr>
          <w:rFonts w:ascii="Times New Roman" w:hAnsi="Times New Roman"/>
          <w:sz w:val="20"/>
        </w:rPr>
        <w:t xml:space="preserve">” means (a)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and (b) any additional currencies determined after the Effective Date by mutual agreement of the Borrower Representative, the Revolving Lenders, the Issuing Bank (to the extent Letters of Credit may be denominated in such additional currency) and the Administrative Agent; provided that each such additional currency is a lawful currency that is readily available, freely transferable and not restricted, able to be converted into dollars. </w:t>
      </w:r>
    </w:p>
    <w:p>
      <w:pPr>
        <w:pStyle w:val="TextBody"/>
        <w:bidi w:val="0"/>
        <w:spacing w:before="240" w:after="0"/>
        <w:jc w:val="left"/>
        <w:rPr/>
      </w:pPr>
      <w:r>
        <w:rPr/>
        <w:t>“</w:t>
      </w:r>
      <w:r>
        <w:rPr>
          <w:rFonts w:ascii="Times New Roman" w:hAnsi="Times New Roman"/>
          <w:sz w:val="20"/>
          <w:u w:val="single"/>
        </w:rPr>
        <w:t>Ancillary Document</w:t>
      </w:r>
      <w:r>
        <w:rPr>
          <w:rFonts w:ascii="Times New Roman" w:hAnsi="Times New Roman"/>
          <w:sz w:val="20"/>
        </w:rPr>
        <w:t xml:space="preserve">” has the meaning assigned to it in Section 9.06(b).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laws, rules, and regulations of any jurisdiction applicable to any Borrower or any Subsidiaries of any Borrower from time to time concerning or relating to bribery or corruption. </w:t>
      </w:r>
    </w:p>
    <w:p>
      <w:pPr>
        <w:pStyle w:val="TextBody"/>
        <w:bidi w:val="0"/>
        <w:spacing w:before="240" w:after="0"/>
        <w:jc w:val="left"/>
        <w:rPr/>
      </w:pPr>
      <w:r>
        <w:rPr/>
        <w:t>“</w:t>
      </w:r>
      <w:r>
        <w:rPr>
          <w:rFonts w:ascii="Times New Roman" w:hAnsi="Times New Roman"/>
          <w:sz w:val="20"/>
          <w:u w:val="single"/>
        </w:rPr>
        <w:t>Applicable EBITDA</w:t>
      </w:r>
      <w:r>
        <w:rPr>
          <w:rFonts w:ascii="Times New Roman" w:hAnsi="Times New Roman"/>
          <w:sz w:val="20"/>
        </w:rPr>
        <w:t xml:space="preserve">” means, at any time, EBITDA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in accordance with GAAP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ended on or most recently prior to such time for which financial statements have been delivered to the Administrative Agent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240" w:after="0"/>
        <w:jc w:val="left"/>
        <w:rPr/>
      </w:pPr>
      <w:r>
        <w:rPr/>
        <w:t>“</w:t>
      </w:r>
      <w:r>
        <w:rPr>
          <w:rFonts w:ascii="Times New Roman" w:hAnsi="Times New Roman"/>
          <w:sz w:val="20"/>
          <w:u w:val="single"/>
        </w:rPr>
        <w:t>Applicable Intercreditor Agreement</w:t>
      </w:r>
      <w:r>
        <w:rPr>
          <w:rFonts w:ascii="Times New Roman" w:hAnsi="Times New Roman"/>
          <w:sz w:val="20"/>
        </w:rPr>
        <w:t xml:space="preserve">” means, an intercreditor agreement, collateral trust agreement, subordination agreement or other intercreditor arrangement (which may, if applicable, consist of a payment “waterfall”) providing for, among other things, the relative priority of claims or Liens of the parties thereto, the terms of which are (i) consistent with market terms (as determined by the Company and the Administrative Agent in good faith) governing arrangements for the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 provided that any such modification to an existing form or new form of intercreditor agreement or arrangement referred to in this definition shall be deemed acceptable to the Administrative Agent if completed in accordance with Section 8.01(g) hereof. </w:t>
      </w:r>
    </w:p>
    <w:p>
      <w:pPr>
        <w:pStyle w:val="TextBody"/>
        <w:bidi w:val="0"/>
        <w:spacing w:before="240" w:after="0"/>
        <w:jc w:val="left"/>
        <w:rPr/>
      </w:pPr>
      <w:r>
        <w:rPr/>
        <w:t>“</w:t>
      </w:r>
      <w:r>
        <w:rPr>
          <w:rFonts w:ascii="Times New Roman" w:hAnsi="Times New Roman"/>
          <w:sz w:val="20"/>
          <w:u w:val="single"/>
        </w:rPr>
        <w:t>Applicable Parties</w:t>
      </w:r>
      <w:r>
        <w:rPr>
          <w:rFonts w:ascii="Times New Roman" w:hAnsi="Times New Roman"/>
          <w:sz w:val="20"/>
        </w:rPr>
        <w:t xml:space="preserve">” has the meaning assigned to it in Section 8.03(c).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means, at any time, (a) with respect to any Revolving Lender, a percentage equal to a fraction the numerator of which is such Lender’s Revolving Commitment at such time and the denominator of which is the aggregate Revolving Commitments at such time (</w:t>
      </w:r>
      <w:r>
        <w:rPr>
          <w:rFonts w:ascii="Times New Roman" w:hAnsi="Times New Roman"/>
          <w:sz w:val="20"/>
          <w:u w:val="single"/>
        </w:rPr>
        <w:t>provided</w:t>
      </w:r>
      <w:r>
        <w:rPr>
          <w:rFonts w:ascii="Times New Roman" w:hAnsi="Times New Roman"/>
          <w:sz w:val="20"/>
        </w:rPr>
        <w:t xml:space="preserve"> that, if the Revolving Commitments have terminated or expired, the Applicable Percentages shall be determined based upon such Lender’s share of the Aggregate Revolving Exposure at such time); </w:t>
      </w:r>
      <w:r>
        <w:rPr>
          <w:rFonts w:ascii="Times New Roman" w:hAnsi="Times New Roman"/>
          <w:sz w:val="20"/>
          <w:u w:val="single"/>
        </w:rPr>
        <w:t>provided</w:t>
      </w:r>
      <w:r>
        <w:rPr>
          <w:rFonts w:ascii="Times New Roman" w:hAnsi="Times New Roman"/>
          <w:sz w:val="20"/>
        </w:rPr>
        <w:t xml:space="preserve"> that, in accordance with Section 2.20, so long as any Lender shall be a Defaulting Lender, such Defaulting Lender’s Revolving Commitment shall be disregarded in the calculations under clause (a) above, and (b) with respect to any Initial Term Lender, a percentage equal to a fraction the numerator of which is the aggregate outstanding principal amount of the Initial Term Loans of such Lender at such time and the denominator of which is the aggregate outstanding principal amount of the Initial Term Loans of all Initial Term Lenders at such time; </w:t>
      </w:r>
      <w:r>
        <w:rPr>
          <w:rFonts w:ascii="Times New Roman" w:hAnsi="Times New Roman"/>
          <w:sz w:val="20"/>
          <w:u w:val="single"/>
        </w:rPr>
        <w:t>provided</w:t>
      </w:r>
      <w:r>
        <w:rPr>
          <w:rFonts w:ascii="Times New Roman" w:hAnsi="Times New Roman"/>
          <w:sz w:val="20"/>
        </w:rPr>
        <w:t xml:space="preserve"> that, in accordance with Section 2.20, so long as any Lender shall be a Defaulting Lender, such Defaulting Lender’s Initial Term Loans shall be disregarded in the calculations under clause (b)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Rate</w:t>
      </w:r>
      <w:r>
        <w:rPr>
          <w:rFonts w:ascii="Times New Roman" w:hAnsi="Times New Roman"/>
          <w:sz w:val="20"/>
        </w:rPr>
        <w:t xml:space="preserve">” means, for any day, with respect to any ABR Loan, Canadian Prime Rate Loan, Term Benchmark Loan or RFR Loan, or with respect to the commitment fees payable hereunder, as the case may be, the applicable rate per annum set forth below under the caption “ABR and Canadian Prime Rate Spread”, “Term Benchmark and RFR Spread” or “Commitment Fee Rate”, as the case may be, based upon the Total Net Leverage Ratio as of the most recent determination date,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 xml:space="preserve">(i) from the First Amendment Date </w:t>
      </w:r>
      <w:r>
        <w:rPr>
          <w:rFonts w:ascii="Times New Roman" w:hAnsi="Times New Roman"/>
          <w:sz w:val="20"/>
        </w:rPr>
        <w:t xml:space="preserve">until the delivery to the Administrative Agent, pursuant to Section 5.01, of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 xml:space="preserve">consolidated financial information and Compliance Certificate for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 xml:space="preserve">first </w:t>
      </w:r>
      <w:r>
        <w:rPr>
          <w:rFonts w:ascii="Times New Roman" w:hAnsi="Times New Roman"/>
          <w:strike/>
          <w:color w:val="FF0000"/>
          <w:sz w:val="20"/>
        </w:rPr>
        <w:t xml:space="preserve">full </w:t>
      </w:r>
      <w:r>
        <w:rPr>
          <w:rFonts w:ascii="Times New Roman" w:hAnsi="Times New Roman"/>
          <w:sz w:val="20"/>
        </w:rPr>
        <w:t xml:space="preserve">fiscal quarter ending after the </w:t>
      </w:r>
      <w:r>
        <w:rPr>
          <w:rFonts w:ascii="Times New Roman" w:hAnsi="Times New Roman"/>
          <w:strike/>
          <w:color w:val="FF0000"/>
          <w:sz w:val="20"/>
        </w:rPr>
        <w:t>Effective</w:t>
      </w:r>
      <w:r>
        <w:rPr>
          <w:rFonts w:ascii="Times New Roman" w:hAnsi="Times New Roman"/>
          <w:color w:val="0000FF"/>
          <w:sz w:val="20"/>
          <w:u w:val="single"/>
          <w:bdr w:val="double" w:sz="2" w:space="1" w:color="000000"/>
        </w:rPr>
        <w:t>First Amendment</w:t>
      </w:r>
      <w:r>
        <w:rPr>
          <w:rFonts w:ascii="Times New Roman" w:hAnsi="Times New Roman"/>
          <w:sz w:val="20"/>
        </w:rPr>
        <w:t xml:space="preserve"> Date, the “Applicable Rate” shall be the applicable rates per annum set forth below in Category 2</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(ii) from the Effective Time until the delivery to the Administrative Agent, pursuant to Section 5.01, of the Company’s (or, after the consummation of the Take-Private Transaction, HoldCo’s) consolidated financial information and Compliance Certificate for the Company’s (or, after the consummation of the Take-Private Transaction, HoldCo’s) first full fiscal quarter ending after the Effective Time, the “Applicable Rate” shall be the applicable rates per annum set forth below in Category 1:</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08"/>
        <w:gridCol w:w="390"/>
        <w:gridCol w:w="123"/>
        <w:gridCol w:w="902"/>
        <w:gridCol w:w="275"/>
        <w:gridCol w:w="297"/>
        <w:gridCol w:w="146"/>
        <w:gridCol w:w="1101"/>
        <w:gridCol w:w="275"/>
        <w:gridCol w:w="297"/>
        <w:gridCol w:w="162"/>
        <w:gridCol w:w="1216"/>
        <w:gridCol w:w="280"/>
      </w:tblGrid>
      <w:tr>
        <w:trPr/>
        <w:tc>
          <w:tcPr>
            <w:tcW w:w="3108"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08" w:type="dxa"/>
            <w:tcBorders/>
            <w:vAlign w:val="bottom"/>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Total Net</w:t>
            </w:r>
          </w:p>
          <w:p>
            <w:pPr>
              <w:pStyle w:val="TableContents"/>
              <w:bidi w:val="0"/>
              <w:spacing w:before="0" w:after="0"/>
              <w:jc w:val="left"/>
              <w:rPr>
                <w:rFonts w:ascii="Times New Roman" w:hAnsi="Times New Roman"/>
                <w:b/>
                <w:sz w:val="16"/>
                <w:u w:val="single"/>
              </w:rPr>
            </w:pPr>
            <w:r>
              <w:rPr>
                <w:rFonts w:ascii="Times New Roman" w:hAnsi="Times New Roman"/>
                <w:b/>
                <w:sz w:val="16"/>
                <w:u w:val="single"/>
              </w:rPr>
              <w:t>Leverage</w:t>
            </w:r>
          </w:p>
          <w:p>
            <w:pPr>
              <w:pStyle w:val="TableContents"/>
              <w:pBdr>
                <w:bottom w:val="single" w:sz="8" w:space="1" w:color="000000"/>
              </w:pBdr>
              <w:bidi w:val="0"/>
              <w:spacing w:before="0" w:after="20"/>
              <w:jc w:val="left"/>
              <w:rPr>
                <w:rFonts w:ascii="Times New Roman" w:hAnsi="Times New Roman"/>
                <w:b/>
                <w:sz w:val="16"/>
                <w:u w:val="single"/>
              </w:rPr>
            </w:pPr>
            <w:r>
              <w:rPr>
                <w:rFonts w:ascii="Times New Roman" w:hAnsi="Times New Roman"/>
                <w:b/>
                <w:sz w:val="16"/>
                <w:u w:val="single"/>
              </w:rPr>
              <w:t>Ratio</w:t>
            </w:r>
          </w:p>
        </w:tc>
        <w:tc>
          <w:tcPr>
            <w:tcW w:w="390"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u w:val="single"/>
              </w:rPr>
            </w:pPr>
            <w:r>
              <w:rPr>
                <w:b/>
                <w:u w:val="single"/>
              </w:rPr>
              <w:t>ABR and</w:t>
              <w:br/>
              <w:t>Canadian</w:t>
              <w:br/>
              <w:t>Prime</w:t>
              <w:br/>
              <w:t>Rate</w:t>
              <w:br/>
              <w:t>Spread</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u w:val="single"/>
              </w:rPr>
            </w:pPr>
            <w:r>
              <w:rPr>
                <w:b/>
                <w:u w:val="single"/>
              </w:rPr>
              <w:t>Term</w:t>
              <w:br/>
              <w:t>Benchmark</w:t>
              <w:br/>
              <w:t>and RFR</w:t>
              <w:br/>
              <w:t>Spread</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u w:val="single"/>
              </w:rPr>
            </w:pPr>
            <w:r>
              <w:rPr>
                <w:b/>
                <w:u w:val="single"/>
              </w:rPr>
              <w:t>Commitment</w:t>
              <w:br/>
              <w:t>Fee Rate</w:t>
            </w:r>
          </w:p>
        </w:tc>
        <w:tc>
          <w:tcPr>
            <w:tcW w:w="280"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Category 1</w:t>
            </w:r>
          </w:p>
          <w:p>
            <w:pPr>
              <w:pStyle w:val="TableContents"/>
              <w:bidi w:val="0"/>
              <w:spacing w:before="0" w:after="2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&gt;4.50 to 1.0</w:t>
            </w:r>
          </w:p>
        </w:tc>
        <w:tc>
          <w:tcPr>
            <w:tcW w:w="3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2.00</w:t>
            </w:r>
          </w:p>
        </w:tc>
        <w:tc>
          <w:tcPr>
            <w:tcW w:w="275" w:type="dxa"/>
            <w:tcBorders/>
            <w:shd w:fill="CCEEFF" w:val="clear"/>
            <w:vAlign w:val="bottom"/>
          </w:tcPr>
          <w:p>
            <w:pPr>
              <w:pStyle w:val="TableContents"/>
              <w:bidi w:val="0"/>
              <w:spacing w:before="0" w:after="283"/>
              <w:jc w:val="left"/>
              <w:rPr/>
            </w:pPr>
            <w:r>
              <w:rPr>
                <w:color w:val="0000FF"/>
              </w:rPr>
              <w:t>%</w:t>
            </w:r>
            <w:r>
              <w:rPr/>
              <w:t> </w:t>
            </w:r>
          </w:p>
        </w:tc>
        <w:tc>
          <w:tcPr>
            <w:tcW w:w="2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3.00</w:t>
            </w:r>
          </w:p>
        </w:tc>
        <w:tc>
          <w:tcPr>
            <w:tcW w:w="275" w:type="dxa"/>
            <w:tcBorders/>
            <w:shd w:fill="CCEEFF" w:val="clear"/>
            <w:vAlign w:val="bottom"/>
          </w:tcPr>
          <w:p>
            <w:pPr>
              <w:pStyle w:val="TableContents"/>
              <w:bidi w:val="0"/>
              <w:spacing w:before="0" w:after="283"/>
              <w:jc w:val="left"/>
              <w:rPr/>
            </w:pPr>
            <w:r>
              <w:rPr>
                <w:color w:val="0000FF"/>
              </w:rPr>
              <w:t>%</w:t>
            </w:r>
            <w:r>
              <w:rPr/>
              <w:t> </w:t>
            </w:r>
          </w:p>
        </w:tc>
        <w:tc>
          <w:tcPr>
            <w:tcW w:w="2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0.40</w:t>
            </w:r>
          </w:p>
        </w:tc>
        <w:tc>
          <w:tcPr>
            <w:tcW w:w="280" w:type="dxa"/>
            <w:tcBorders/>
            <w:shd w:fill="CCEEFF" w:val="clear"/>
            <w:vAlign w:val="bottom"/>
          </w:tcPr>
          <w:p>
            <w:pPr>
              <w:pStyle w:val="TableContents"/>
              <w:bidi w:val="0"/>
              <w:spacing w:before="0" w:after="283"/>
              <w:jc w:val="left"/>
              <w:rPr/>
            </w:pPr>
            <w:r>
              <w:rPr>
                <w:color w:val="0000FF"/>
              </w:rPr>
              <w:t>%</w:t>
            </w: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1</w:t>
            </w:r>
            <w:r>
              <w:rPr>
                <w:rFonts w:ascii="Times New Roman" w:hAnsi="Times New Roman"/>
                <w:color w:val="0000FF"/>
                <w:sz w:val="20"/>
                <w:u w:val="single"/>
                <w:bdr w:val="double" w:sz="2" w:space="1" w:color="000000"/>
              </w:rPr>
              <w:t>2</w:t>
            </w:r>
          </w:p>
          <w:p>
            <w:pPr>
              <w:pStyle w:val="TableContents"/>
              <w:bidi w:val="0"/>
              <w:spacing w:before="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4.50 to 1.0</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but</w:t>
            </w:r>
          </w:p>
          <w:p>
            <w:pPr>
              <w:pStyle w:val="TableContents"/>
              <w:bidi w:val="0"/>
              <w:spacing w:before="0" w:after="20"/>
              <w:jc w:val="left"/>
              <w:rPr>
                <w:rFonts w:ascii="Times New Roman" w:hAnsi="Times New Roman"/>
                <w:sz w:val="20"/>
              </w:rPr>
            </w:pPr>
            <w:r>
              <w:rPr>
                <w:rFonts w:ascii="Times New Roman" w:hAnsi="Times New Roman"/>
                <w:sz w:val="20"/>
              </w:rPr>
              <w:t>&gt;3.75 to 1.0</w:t>
            </w:r>
          </w:p>
        </w:tc>
        <w:tc>
          <w:tcPr>
            <w:tcW w:w="3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2.75</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0.35</w:t>
            </w:r>
          </w:p>
        </w:tc>
        <w:tc>
          <w:tcPr>
            <w:tcW w:w="280"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2</w:t>
            </w:r>
            <w:r>
              <w:rPr>
                <w:rFonts w:ascii="Times New Roman" w:hAnsi="Times New Roman"/>
                <w:color w:val="0000FF"/>
                <w:sz w:val="20"/>
                <w:u w:val="single"/>
                <w:bdr w:val="double" w:sz="2" w:space="1" w:color="000000"/>
              </w:rPr>
              <w:t>3</w:t>
            </w:r>
          </w:p>
          <w:p>
            <w:pPr>
              <w:pStyle w:val="TableContents"/>
              <w:bidi w:val="0"/>
              <w:spacing w:before="0" w:after="0"/>
              <w:jc w:val="left"/>
              <w:rPr/>
            </w:pPr>
            <w:r>
              <w:rPr/>
              <w:t>≤</w:t>
            </w:r>
            <w:r>
              <w:rPr>
                <w:rFonts w:ascii="Times New Roman" w:hAnsi="Times New Roman"/>
                <w:sz w:val="20"/>
              </w:rPr>
              <w:t>3.75 to 1.0</w:t>
            </w:r>
          </w:p>
          <w:p>
            <w:pPr>
              <w:pStyle w:val="TableContents"/>
              <w:bidi w:val="0"/>
              <w:spacing w:before="0" w:after="0"/>
              <w:jc w:val="left"/>
              <w:rPr>
                <w:rFonts w:ascii="Times New Roman" w:hAnsi="Times New Roman"/>
                <w:sz w:val="20"/>
              </w:rPr>
            </w:pPr>
            <w:r>
              <w:rPr>
                <w:rFonts w:ascii="Times New Roman" w:hAnsi="Times New Roman"/>
                <w:sz w:val="20"/>
              </w:rPr>
              <w:t>but</w:t>
            </w:r>
          </w:p>
          <w:p>
            <w:pPr>
              <w:pStyle w:val="TableContents"/>
              <w:bidi w:val="0"/>
              <w:spacing w:before="0" w:after="20"/>
              <w:jc w:val="left"/>
              <w:rPr>
                <w:rFonts w:ascii="Times New Roman" w:hAnsi="Times New Roman"/>
                <w:sz w:val="20"/>
              </w:rPr>
            </w:pPr>
            <w:r>
              <w:rPr>
                <w:rFonts w:ascii="Times New Roman" w:hAnsi="Times New Roman"/>
                <w:sz w:val="20"/>
              </w:rPr>
              <w:t>&gt;3.00 to 1.0</w:t>
            </w:r>
          </w:p>
        </w:tc>
        <w:tc>
          <w:tcPr>
            <w:tcW w:w="3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0.30</w:t>
            </w:r>
          </w:p>
        </w:tc>
        <w:tc>
          <w:tcPr>
            <w:tcW w:w="280"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3</w:t>
            </w:r>
            <w:r>
              <w:rPr>
                <w:rFonts w:ascii="Times New Roman" w:hAnsi="Times New Roman"/>
                <w:color w:val="0000FF"/>
                <w:sz w:val="20"/>
                <w:u w:val="single"/>
                <w:bdr w:val="double" w:sz="2" w:space="1" w:color="000000"/>
              </w:rPr>
              <w:t>4</w:t>
            </w:r>
          </w:p>
          <w:p>
            <w:pPr>
              <w:pStyle w:val="TableContents"/>
              <w:bidi w:val="0"/>
              <w:spacing w:before="0" w:after="0"/>
              <w:jc w:val="left"/>
              <w:rPr/>
            </w:pPr>
            <w:r>
              <w:rPr/>
              <w:t>≤</w:t>
            </w:r>
            <w:r>
              <w:rPr>
                <w:rFonts w:ascii="Times New Roman" w:hAnsi="Times New Roman"/>
                <w:sz w:val="20"/>
              </w:rPr>
              <w:t>3.00 to 1.0</w:t>
            </w:r>
          </w:p>
          <w:p>
            <w:pPr>
              <w:pStyle w:val="TableContents"/>
              <w:bidi w:val="0"/>
              <w:spacing w:before="0" w:after="0"/>
              <w:jc w:val="left"/>
              <w:rPr>
                <w:rFonts w:ascii="Times New Roman" w:hAnsi="Times New Roman"/>
                <w:sz w:val="20"/>
              </w:rPr>
            </w:pPr>
            <w:r>
              <w:rPr>
                <w:rFonts w:ascii="Times New Roman" w:hAnsi="Times New Roman"/>
                <w:sz w:val="20"/>
              </w:rPr>
              <w:t>but</w:t>
            </w:r>
          </w:p>
          <w:p>
            <w:pPr>
              <w:pStyle w:val="TableContents"/>
              <w:bidi w:val="0"/>
              <w:spacing w:before="0" w:after="20"/>
              <w:jc w:val="left"/>
              <w:rPr>
                <w:rFonts w:ascii="Times New Roman" w:hAnsi="Times New Roman"/>
                <w:sz w:val="20"/>
              </w:rPr>
            </w:pPr>
            <w:r>
              <w:rPr>
                <w:rFonts w:ascii="Times New Roman" w:hAnsi="Times New Roman"/>
                <w:sz w:val="20"/>
              </w:rPr>
              <w:t>&gt;2.25 to 1.0</w:t>
            </w:r>
          </w:p>
        </w:tc>
        <w:tc>
          <w:tcPr>
            <w:tcW w:w="3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0.25</w:t>
            </w:r>
          </w:p>
        </w:tc>
        <w:tc>
          <w:tcPr>
            <w:tcW w:w="280" w:type="dxa"/>
            <w:tcBorders/>
            <w:vAlign w:val="bottom"/>
          </w:tcPr>
          <w:p>
            <w:pPr>
              <w:pStyle w:val="TableContents"/>
              <w:bidi w:val="0"/>
              <w:spacing w:before="0" w:after="283"/>
              <w:jc w:val="left"/>
              <w:rPr/>
            </w:pPr>
            <w:r>
              <w:rPr/>
              <w:t>% </w:t>
            </w:r>
          </w:p>
        </w:tc>
      </w:tr>
      <w:tr>
        <w:trPr/>
        <w:tc>
          <w:tcPr>
            <w:tcW w:w="3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4</w:t>
            </w:r>
            <w:r>
              <w:rPr>
                <w:rFonts w:ascii="Times New Roman" w:hAnsi="Times New Roman"/>
                <w:color w:val="0000FF"/>
                <w:sz w:val="20"/>
                <w:u w:val="single"/>
                <w:bdr w:val="double" w:sz="2" w:space="1" w:color="000000"/>
              </w:rPr>
              <w:t>5</w:t>
            </w:r>
          </w:p>
          <w:p>
            <w:pPr>
              <w:pStyle w:val="TableContents"/>
              <w:bidi w:val="0"/>
              <w:spacing w:before="0" w:after="0"/>
              <w:jc w:val="left"/>
              <w:rPr/>
            </w:pPr>
            <w:r>
              <w:rPr/>
              <w:t>≤</w:t>
            </w:r>
            <w:r>
              <w:rPr>
                <w:rFonts w:ascii="Times New Roman" w:hAnsi="Times New Roman"/>
                <w:sz w:val="20"/>
              </w:rPr>
              <w:t>2.25 to 1.0</w:t>
            </w:r>
          </w:p>
          <w:p>
            <w:pPr>
              <w:pStyle w:val="TableContents"/>
              <w:bidi w:val="0"/>
              <w:spacing w:before="0" w:after="0"/>
              <w:jc w:val="left"/>
              <w:rPr>
                <w:rFonts w:ascii="Times New Roman" w:hAnsi="Times New Roman"/>
                <w:sz w:val="20"/>
              </w:rPr>
            </w:pPr>
            <w:r>
              <w:rPr>
                <w:rFonts w:ascii="Times New Roman" w:hAnsi="Times New Roman"/>
                <w:sz w:val="20"/>
              </w:rPr>
              <w:t>but</w:t>
            </w:r>
          </w:p>
          <w:p>
            <w:pPr>
              <w:pStyle w:val="TableContents"/>
              <w:bidi w:val="0"/>
              <w:spacing w:before="0" w:after="20"/>
              <w:jc w:val="left"/>
              <w:rPr>
                <w:rFonts w:ascii="Times New Roman" w:hAnsi="Times New Roman"/>
                <w:sz w:val="20"/>
              </w:rPr>
            </w:pPr>
            <w:r>
              <w:rPr>
                <w:rFonts w:ascii="Times New Roman" w:hAnsi="Times New Roman"/>
                <w:sz w:val="20"/>
              </w:rPr>
              <w:t>&gt;1.50 to 1.0</w:t>
            </w:r>
          </w:p>
        </w:tc>
        <w:tc>
          <w:tcPr>
            <w:tcW w:w="39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0.50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0.20</w:t>
            </w:r>
          </w:p>
        </w:tc>
        <w:tc>
          <w:tcPr>
            <w:tcW w:w="280" w:type="dxa"/>
            <w:tcBorders/>
            <w:shd w:fill="CCEEFF" w:val="clear"/>
            <w:vAlign w:val="bottom"/>
          </w:tcPr>
          <w:p>
            <w:pPr>
              <w:pStyle w:val="TableContents"/>
              <w:bidi w:val="0"/>
              <w:spacing w:before="0" w:after="283"/>
              <w:jc w:val="left"/>
              <w:rPr/>
            </w:pPr>
            <w:r>
              <w:rPr/>
              <w:t>% </w:t>
            </w:r>
          </w:p>
        </w:tc>
      </w:tr>
      <w:tr>
        <w:trPr/>
        <w:tc>
          <w:tcPr>
            <w:tcW w:w="31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Category </w:t>
            </w:r>
            <w:r>
              <w:rPr>
                <w:rFonts w:ascii="Times New Roman" w:hAnsi="Times New Roman"/>
                <w:strike/>
                <w:color w:val="FF0000"/>
                <w:sz w:val="20"/>
              </w:rPr>
              <w:t>5</w:t>
            </w:r>
            <w:r>
              <w:rPr>
                <w:rFonts w:ascii="Times New Roman" w:hAnsi="Times New Roman"/>
                <w:color w:val="0000FF"/>
                <w:sz w:val="20"/>
                <w:u w:val="single"/>
                <w:bdr w:val="double" w:sz="2" w:space="1" w:color="000000"/>
              </w:rPr>
              <w:t>6</w:t>
            </w:r>
          </w:p>
          <w:p>
            <w:pPr>
              <w:pStyle w:val="TableContents"/>
              <w:bidi w:val="0"/>
              <w:spacing w:before="0" w:after="20"/>
              <w:jc w:val="left"/>
              <w:rPr/>
            </w:pPr>
            <w:r>
              <w:rPr/>
              <w:t>≤</w:t>
            </w:r>
            <w:r>
              <w:rPr>
                <w:rFonts w:ascii="Times New Roman" w:hAnsi="Times New Roman"/>
                <w:sz w:val="20"/>
              </w:rPr>
              <w:t>1.50 to 1.0</w:t>
            </w:r>
          </w:p>
        </w:tc>
        <w:tc>
          <w:tcPr>
            <w:tcW w:w="39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0.15</w:t>
            </w:r>
          </w:p>
        </w:tc>
        <w:tc>
          <w:tcPr>
            <w:tcW w:w="28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purposes of the foregoing, (a) the Applicable Rate shall be determined as of the end of each fiscal quarter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based upon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 xml:space="preserve">annual or quarterly consolidated financial statements delivered pursuant to Section 5.01 for such fiscal quarter and (b) each change in the Applicable Rate resulting from a change in the Total Net Leverage Ratio shall be effective during the period commencing on and including the date that is three (3) Business Days after the date that the Administrative Agent receives such consolidated financial statements and Compliance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indicating such change and ending on the date immediately preceding the effective date of the next such change</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at the option of the Administrative Agent or at the request of the Required Lenders, if the Borrowers fail to deliver the annual or quarterly consolidated financial statements required to be delivered by it pursuant to Section 5.01, the Total Net Leverage Ratio shall be deemed to be in Category </w:t>
      </w:r>
      <w:r>
        <w:rPr>
          <w:rFonts w:ascii="Times New Roman" w:hAnsi="Times New Roman"/>
          <w:strike/>
          <w:color w:val="FF0000"/>
          <w:sz w:val="20"/>
        </w:rPr>
        <w:t>1</w:t>
      </w:r>
      <w:r>
        <w:rPr>
          <w:rFonts w:ascii="Times New Roman" w:hAnsi="Times New Roman"/>
          <w:color w:val="0000FF"/>
          <w:sz w:val="20"/>
          <w:u w:val="single"/>
          <w:bdr w:val="double" w:sz="2" w:space="1" w:color="000000"/>
        </w:rPr>
        <w:t>2 (prior to the Effective Time) or Category 1 (from and after the Effective Time)</w:t>
      </w:r>
      <w:r>
        <w:rPr>
          <w:rFonts w:ascii="Times New Roman" w:hAnsi="Times New Roman"/>
          <w:sz w:val="20"/>
        </w:rPr>
        <w:t xml:space="preserve"> during the period from the expiration of the time for delivery thereof until the date that is three (3) Business Days after the date that such consolidated financial statements are delivered</w:t>
      </w:r>
      <w:r>
        <w:rPr>
          <w:rFonts w:ascii="Times New Roman" w:hAnsi="Times New Roman"/>
          <w:strike/>
          <w:color w:val="FF0000"/>
          <w:sz w:val="20"/>
        </w:rPr>
        <w:t>.</w:t>
      </w:r>
      <w:r>
        <w:rPr>
          <w:rFonts w:ascii="Times New Roman" w:hAnsi="Times New Roman"/>
          <w:color w:val="0000FF"/>
          <w:sz w:val="20"/>
          <w:u w:val="single"/>
          <w:bdr w:val="double" w:sz="2" w:space="1" w:color="000000"/>
        </w:rPr>
        <w:t>; provided further that the percentage rates set forth under the captions “ABR and Canadian Prime Rate Spread” and “Term Benchmark and RFR Spread” shall increase, on a cumulative basis, (x) by 0.50% on each of the 90th, 180th, and 270th day after the Effective Time and (y) by 0.25% each 90 days thereafter (such increases, the “Coupon Step-Up”) until such time as the High Yield Notes are Fully Funded and the Take-Private Mandatory Prepayment Requirements have been fully satisfied, at which time (A) the Applicable Rate will revert to the percentage rates set forth under the captions “ABR and Canadian Prime Rate Spread” and “Term Benchmark and RFR Spread” (as determined by the Total Net Leverage Ratio in accordance with clauses (a) and (b) above) without regard to any previously applied Coupon Step-Ups and (B) no further Coupon Step-Ups shall be applied to such percentage rates; provided further that, notwithstanding anything to the contrary in this definition or elsewhere in this Agreement, the applicable rates set forth in Category 1 above shall not be applicable until the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Administrative Agent determines that the financial statements upon which the Applicable Rate was determined were incorrect (whether based on a restatement, fraud or otherwise), or any ratio or compliance information in a Compliance Certificate or other certification was incorrectly calculated, relied on incorrect information or was otherwise not accurate, true or correct, the Borrowers shall be required to retroactively pay any additional amount that the Borrowers would have been required to pay if such financial statements, Compliance Certificate or other information had been accurate and/or computed correctly at the time they were delivered. </w:t>
      </w:r>
    </w:p>
    <w:p>
      <w:pPr>
        <w:pStyle w:val="TextBody"/>
        <w:bidi w:val="0"/>
        <w:spacing w:before="240" w:after="0"/>
        <w:jc w:val="left"/>
        <w:rPr/>
      </w:pPr>
      <w:r>
        <w:rPr/>
        <w:t>“</w:t>
      </w:r>
      <w:r>
        <w:rPr>
          <w:rFonts w:ascii="Times New Roman" w:hAnsi="Times New Roman"/>
          <w:sz w:val="20"/>
          <w:u w:val="single"/>
        </w:rPr>
        <w:t>Applicable Time</w:t>
      </w:r>
      <w:r>
        <w:rPr>
          <w:rFonts w:ascii="Times New Roman" w:hAnsi="Times New Roman"/>
          <w:sz w:val="20"/>
        </w:rPr>
        <w:t xml:space="preserve">” means,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 </w:t>
      </w:r>
    </w:p>
    <w:p>
      <w:pPr>
        <w:pStyle w:val="TextBody"/>
        <w:bidi w:val="0"/>
        <w:spacing w:before="240" w:after="0"/>
        <w:jc w:val="left"/>
        <w:rPr/>
      </w:pPr>
      <w:r>
        <w:rPr/>
        <w:t>“</w:t>
      </w:r>
      <w:r>
        <w:rPr>
          <w:rFonts w:ascii="Times New Roman" w:hAnsi="Times New Roman"/>
          <w:sz w:val="20"/>
          <w:u w:val="single"/>
        </w:rPr>
        <w:t>Appropriate Lenders</w:t>
      </w:r>
      <w:r>
        <w:rPr>
          <w:rFonts w:ascii="Times New Roman" w:hAnsi="Times New Roman"/>
          <w:sz w:val="20"/>
        </w:rPr>
        <w:t xml:space="preserve">” means, at any time, with respect to any Class of Term Loans, the Lenders that hold a Term Loan with respect to such Class at such time. </w:t>
      </w:r>
    </w:p>
    <w:p>
      <w:pPr>
        <w:pStyle w:val="TextBody"/>
        <w:bidi w:val="0"/>
        <w:spacing w:before="240" w:after="0"/>
        <w:jc w:val="left"/>
        <w:rPr/>
      </w:pPr>
      <w:r>
        <w:rPr/>
        <w:t>“</w:t>
      </w:r>
      <w:r>
        <w:rPr>
          <w:rFonts w:ascii="Times New Roman" w:hAnsi="Times New Roman"/>
          <w:sz w:val="20"/>
          <w:u w:val="single"/>
        </w:rPr>
        <w:t>Approved Borrower Portal</w:t>
      </w:r>
      <w:r>
        <w:rPr>
          <w:rFonts w:ascii="Times New Roman" w:hAnsi="Times New Roman"/>
          <w:sz w:val="20"/>
        </w:rPr>
        <w:t xml:space="preserve">” has the meaning assigned to it in Section 8.12(a). </w:t>
      </w:r>
    </w:p>
    <w:p>
      <w:pPr>
        <w:pStyle w:val="TextBody"/>
        <w:bidi w:val="0"/>
        <w:spacing w:before="240" w:after="0"/>
        <w:jc w:val="left"/>
        <w:rPr/>
      </w:pPr>
      <w:r>
        <w:rPr/>
        <w:t>“</w:t>
      </w:r>
      <w:r>
        <w:rPr>
          <w:rFonts w:ascii="Times New Roman" w:hAnsi="Times New Roman"/>
          <w:sz w:val="20"/>
          <w:u w:val="single"/>
        </w:rPr>
        <w:t>Approved Electronic Platform</w:t>
      </w:r>
      <w:r>
        <w:rPr>
          <w:rFonts w:ascii="Times New Roman" w:hAnsi="Times New Roman"/>
          <w:sz w:val="20"/>
        </w:rPr>
        <w:t xml:space="preserve">” has the meaning assigned to it in Section 8.03(a).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has the meaning assigned to the term in Section 9.04(b). </w:t>
      </w:r>
    </w:p>
    <w:p>
      <w:pPr>
        <w:pStyle w:val="TextBody"/>
        <w:bidi w:val="0"/>
        <w:spacing w:before="240" w:after="0"/>
        <w:jc w:val="left"/>
        <w:rPr/>
      </w:pPr>
      <w:r>
        <w:rPr/>
        <w:t>“</w:t>
      </w:r>
      <w:r>
        <w:rPr>
          <w:rFonts w:ascii="Times New Roman" w:hAnsi="Times New Roman"/>
          <w:sz w:val="20"/>
          <w:u w:val="single"/>
        </w:rPr>
        <w:t>Arranger</w:t>
      </w:r>
      <w:r>
        <w:rPr>
          <w:rFonts w:ascii="Times New Roman" w:hAnsi="Times New Roman"/>
          <w:sz w:val="20"/>
        </w:rPr>
        <w:t xml:space="preserve">” means each of JPMorgan, BofA Securities, Inc. (together with its Affiliates), Wells Fargo Securities, LLC, U.S. Bank National Association, TD Bank, N.A., Capital One, National Association, Regions Bank Capital Markets, a Division of Regions Bank, and CIBC Bank USA, in its capacity as joint bookrunner and joint lead arranger hereunder. </w:t>
      </w:r>
    </w:p>
    <w:p>
      <w:pPr>
        <w:pStyle w:val="TextBody"/>
        <w:bidi w:val="0"/>
        <w:spacing w:before="240" w:after="0"/>
        <w:jc w:val="left"/>
        <w:rPr/>
      </w:pPr>
      <w:r>
        <w:rPr/>
        <w:t>“</w:t>
      </w:r>
      <w:r>
        <w:rPr>
          <w:rFonts w:ascii="Times New Roman" w:hAnsi="Times New Roman"/>
          <w:sz w:val="20"/>
          <w:u w:val="single"/>
        </w:rPr>
        <w:t>Asset Sale Prepayment Trigger</w:t>
      </w:r>
      <w:r>
        <w:rPr>
          <w:rFonts w:ascii="Times New Roman" w:hAnsi="Times New Roman"/>
          <w:sz w:val="20"/>
        </w:rPr>
        <w:t xml:space="preserve">” has the meaning assigned to it in Section 2.11(c)(i).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hAnsi="Times New Roman"/>
          <w:sz w:val="20"/>
          <w:u w:val="single"/>
        </w:rPr>
        <w:t>Exhibit A</w:t>
      </w:r>
      <w:r>
        <w:rPr>
          <w:rFonts w:ascii="Times New Roman" w:hAnsi="Times New Roman"/>
          <w:sz w:val="20"/>
        </w:rPr>
        <w:t xml:space="preserve"> or any other form (including electronic records generated by the use of an electronic platform) approved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Auction Agent</w:t>
      </w:r>
      <w:r>
        <w:rPr>
          <w:rFonts w:ascii="Times New Roman" w:hAnsi="Times New Roman"/>
          <w:sz w:val="20"/>
        </w:rPr>
        <w:t xml:space="preserve">” means (a) the Administrative Agent or (b) any other financial institution or advisor employed by the Company (whether or not an Affiliate of the Administrative Agent) to act as an arranger in connection with any Dutch Auction; </w:t>
      </w:r>
      <w:r>
        <w:rPr>
          <w:rFonts w:ascii="Times New Roman" w:hAnsi="Times New Roman"/>
          <w:sz w:val="20"/>
          <w:u w:val="single"/>
        </w:rPr>
        <w:t>provided</w:t>
      </w:r>
      <w:r>
        <w:rPr>
          <w:rFonts w:ascii="Times New Roman" w:hAnsi="Times New Roman"/>
          <w:sz w:val="20"/>
        </w:rPr>
        <w:t xml:space="preserve"> that the Company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neither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nor any of its Affiliates may act as the Auction Agent. </w:t>
      </w:r>
    </w:p>
    <w:p>
      <w:pPr>
        <w:pStyle w:val="TextBody"/>
        <w:bidi w:val="0"/>
        <w:spacing w:before="240" w:after="0"/>
        <w:jc w:val="left"/>
        <w:rPr/>
      </w:pPr>
      <w:r>
        <w:rPr/>
        <w:t>“</w:t>
      </w:r>
      <w:r>
        <w:rPr>
          <w:rFonts w:ascii="Times New Roman" w:hAnsi="Times New Roman"/>
          <w:sz w:val="20"/>
          <w:u w:val="single"/>
        </w:rPr>
        <w:t>Available Amount</w:t>
      </w:r>
      <w:r>
        <w:rPr>
          <w:rFonts w:ascii="Times New Roman" w:hAnsi="Times New Roman"/>
          <w:sz w:val="20"/>
        </w:rPr>
        <w:t>” means, at any time (the “</w:t>
      </w:r>
      <w:r>
        <w:rPr>
          <w:rFonts w:ascii="Times New Roman" w:hAnsi="Times New Roman"/>
          <w:sz w:val="20"/>
          <w:u w:val="single"/>
        </w:rPr>
        <w:t>Reference Date</w:t>
      </w:r>
      <w:r>
        <w:rPr>
          <w:rFonts w:ascii="Times New Roman" w:hAnsi="Times New Roman"/>
          <w:sz w:val="20"/>
        </w:rPr>
        <w:t xml:space="preserve">”), the sum (without duplication)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greater of (x) $</w:t>
            </w:r>
            <w:r>
              <w:rPr>
                <w:rFonts w:ascii="Times New Roman" w:hAnsi="Times New Roman"/>
                <w:strike/>
                <w:color w:val="FF0000"/>
                <w:sz w:val="20"/>
              </w:rPr>
              <w:t>47,500,000</w:t>
            </w:r>
            <w:r>
              <w:rPr>
                <w:rFonts w:ascii="Times New Roman" w:hAnsi="Times New Roman"/>
                <w:color w:val="0000FF"/>
                <w:sz w:val="20"/>
                <w:u w:val="single"/>
                <w:bdr w:val="double" w:sz="2" w:space="1" w:color="000000"/>
              </w:rPr>
              <w:t>57,000,000</w:t>
            </w:r>
            <w:r>
              <w:rPr>
                <w:rFonts w:ascii="Times New Roman" w:hAnsi="Times New Roman"/>
                <w:sz w:val="20"/>
              </w:rPr>
              <w:t xml:space="preserve"> and (y)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of Applicable EBITDA (calculated on a pro forma basis) as of the last day of the most recently ended four fiscal-quarter period on or prior to the date of determination;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the net cash proceeds of any issuance of Qualified Stock received by the Company </w:t>
            </w:r>
            <w:r>
              <w:rPr>
                <w:rFonts w:ascii="Times New Roman" w:hAnsi="Times New Roman"/>
                <w:color w:val="0000FF"/>
                <w:sz w:val="20"/>
                <w:u w:val="single"/>
                <w:bdr w:val="double" w:sz="2" w:space="1" w:color="000000"/>
              </w:rPr>
              <w:t xml:space="preserve">(or, after the consummation of the Take-Private Transaction, HoldCo, to the extent contributed to the Company) </w:t>
            </w:r>
            <w:r>
              <w:rPr>
                <w:rFonts w:ascii="Times New Roman" w:hAnsi="Times New Roman"/>
                <w:sz w:val="20"/>
              </w:rPr>
              <w:t xml:space="preserve">during the period from and including the Business Day immediately following the Effective Date through and including the Reference Date, in each case, to the extent not included in the definition of “Specified Equity Contribution” and Not Otherwise Applied;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any Indebtedness issued by the Company after the Effective Date that has been exchanged for or converted into Qualified Stock of the Company </w:t>
            </w:r>
            <w:r>
              <w:rPr>
                <w:rFonts w:ascii="Times New Roman" w:hAnsi="Times New Roman"/>
                <w:color w:val="0000FF"/>
                <w:sz w:val="20"/>
                <w:u w:val="single"/>
                <w:bdr w:val="double" w:sz="2" w:space="1" w:color="000000"/>
              </w:rPr>
              <w:t xml:space="preserve">(or, after the consummation of the Take-Private Transaction, HoldCo, to the extent the proceeds thereof have been contributed to the Company) </w:t>
            </w:r>
            <w:r>
              <w:rPr>
                <w:rFonts w:ascii="Times New Roman" w:hAnsi="Times New Roman"/>
                <w:sz w:val="20"/>
              </w:rPr>
              <w:t xml:space="preserve">during the period from and including the Business Day immediately following the Effective Date through and including the Reference Date and Not Otherwise Applied;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already reflected as a return of capital with respect to such investment for purposes of determining the amount of such investment, the aggregate amount of all Returns (including all cash repayment of principal) received in cash or Permitted Investments by the Company </w:t>
            </w:r>
            <w:r>
              <w:rPr>
                <w:rFonts w:ascii="Times New Roman" w:hAnsi="Times New Roman"/>
                <w:color w:val="0000FF"/>
                <w:sz w:val="20"/>
                <w:u w:val="single"/>
                <w:bdr w:val="double" w:sz="2" w:space="1" w:color="000000"/>
              </w:rPr>
              <w:t xml:space="preserve">(or, after the consummation of the Take-Private Transaction, HoldCo, to the extent contributed to the Company) </w:t>
            </w:r>
            <w:r>
              <w:rPr>
                <w:rFonts w:ascii="Times New Roman" w:hAnsi="Times New Roman"/>
                <w:sz w:val="20"/>
              </w:rPr>
              <w:t xml:space="preserve">or any Restricted Subsidiary from any investment </w:t>
            </w:r>
            <w:r>
              <w:rPr>
                <w:rFonts w:ascii="Times New Roman" w:hAnsi="Times New Roman"/>
                <w:strike/>
                <w:color w:val="FF0000"/>
                <w:sz w:val="20"/>
              </w:rPr>
              <w:t xml:space="preserve">or Unrestricted Subsidiary </w:t>
            </w:r>
            <w:r>
              <w:rPr>
                <w:rFonts w:ascii="Times New Roman" w:hAnsi="Times New Roman"/>
                <w:sz w:val="20"/>
              </w:rPr>
              <w:t xml:space="preserve">during the period from and including the Business Day immediately following the Effective Date through and including the Reference Date, in each case, to the extent any such investment was made using the Available Amount pursuant to Section 6.04(q) (up to the amount of the original investment);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already reflected as a return of capital with respect to such investment for purposes of determining the amount of such investment, the aggregate amount of all net cash proceeds received by the Company </w:t>
            </w:r>
            <w:r>
              <w:rPr>
                <w:rFonts w:ascii="Times New Roman" w:hAnsi="Times New Roman"/>
                <w:color w:val="0000FF"/>
                <w:sz w:val="20"/>
                <w:u w:val="single"/>
                <w:bdr w:val="double" w:sz="2" w:space="1" w:color="000000"/>
              </w:rPr>
              <w:t xml:space="preserve">(or, after the consummation of the Take-Private Transaction, HoldCo, to the extent contributed to the Company) </w:t>
            </w:r>
            <w:r>
              <w:rPr>
                <w:rFonts w:ascii="Times New Roman" w:hAnsi="Times New Roman"/>
                <w:sz w:val="20"/>
              </w:rPr>
              <w:t xml:space="preserve">or any Restricted Subsidiary in connection with the sale, transfer or other Disposition of any investment </w:t>
            </w:r>
            <w:r>
              <w:rPr>
                <w:rFonts w:ascii="Times New Roman" w:hAnsi="Times New Roman"/>
                <w:strike/>
                <w:color w:val="FF0000"/>
                <w:sz w:val="20"/>
              </w:rPr>
              <w:t xml:space="preserve">or its ownership interest in any Unrestricted Subsidiary </w:t>
            </w:r>
            <w:r>
              <w:rPr>
                <w:rFonts w:ascii="Times New Roman" w:hAnsi="Times New Roman"/>
                <w:sz w:val="20"/>
              </w:rPr>
              <w:t xml:space="preserve">during the period from and including the Business Day immediately following the Effective Date through and including the Reference Date, in each case, to the extent any such investment was made using the Available Amount pursuant to Section 6.04(q) (up to the amount of the original investment);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strike/>
                <w:color w:val="FF0000"/>
              </w:rPr>
            </w:pPr>
            <w:r>
              <w:rPr>
                <w:strike/>
                <w:color w:val="FF0000"/>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 xml:space="preserve">to the extent not already reflected as a return of capital with respect to such investment for purposes of determining the amount of such investment, </w:t>
            </w:r>
            <w:r>
              <w:rPr>
                <w:rFonts w:ascii="Times New Roman" w:hAnsi="Times New Roman"/>
                <w:strike/>
                <w:color w:val="008000"/>
                <w:sz w:val="20"/>
              </w:rPr>
              <w:t xml:space="preserve">in the event that the </w:t>
            </w:r>
            <w:r>
              <w:rPr>
                <w:rFonts w:ascii="Times New Roman" w:hAnsi="Times New Roman"/>
                <w:strike/>
                <w:color w:val="FF0000"/>
                <w:sz w:val="20"/>
              </w:rPr>
              <w:t xml:space="preserve">Company redesignates any Unrestricted Subsidiary as a Restricted Subsidiary after the Effective Date (which, for purposes hereof, shall be deemed to also include (1) the merger, consolidation, liquidation or similar amalgamation of any Unrestricted Subsidiary into a </w:t>
            </w:r>
            <w:r>
              <w:rPr>
                <w:rFonts w:ascii="Times New Roman" w:hAnsi="Times New Roman"/>
                <w:strike/>
                <w:color w:val="008000"/>
                <w:sz w:val="20"/>
              </w:rPr>
              <w:t>Borrower or any Restricted Subsidiary</w:t>
            </w:r>
            <w:r>
              <w:rPr>
                <w:rFonts w:ascii="Times New Roman" w:hAnsi="Times New Roman"/>
                <w:strike/>
                <w:color w:val="FF0000"/>
                <w:sz w:val="20"/>
              </w:rPr>
              <w:t xml:space="preserve">, so long as </w:t>
            </w:r>
            <w:r>
              <w:rPr>
                <w:rFonts w:ascii="Times New Roman" w:hAnsi="Times New Roman"/>
                <w:strike/>
                <w:color w:val="008000"/>
                <w:sz w:val="20"/>
              </w:rPr>
              <w:t xml:space="preserve">such Borrower or such Restricted Subsidiary </w:t>
            </w:r>
            <w:r>
              <w:rPr>
                <w:rFonts w:ascii="Times New Roman" w:hAnsi="Times New Roman"/>
                <w:strike/>
                <w:color w:val="FF0000"/>
                <w:sz w:val="20"/>
              </w:rPr>
              <w:t xml:space="preserve">is the surviving Person, and (2) the transfer of all or substantially all of the assets of an Unrestricted Subsidiary to a </w:t>
            </w:r>
            <w:r>
              <w:rPr>
                <w:rFonts w:ascii="Times New Roman" w:hAnsi="Times New Roman"/>
                <w:strike/>
                <w:color w:val="008000"/>
                <w:sz w:val="20"/>
              </w:rPr>
              <w:t>Borrower or any Restricted Subsidiary</w:t>
            </w:r>
            <w:r>
              <w:rPr>
                <w:rFonts w:ascii="Times New Roman" w:hAnsi="Times New Roman"/>
                <w:strike/>
                <w:color w:val="FF0000"/>
                <w:sz w:val="20"/>
              </w:rPr>
              <w:t xml:space="preserve">), the fair market value (as reasonably </w:t>
            </w:r>
            <w:r>
              <w:rPr>
                <w:rFonts w:ascii="Times New Roman" w:hAnsi="Times New Roman"/>
                <w:strike/>
                <w:color w:val="008000"/>
                <w:sz w:val="20"/>
              </w:rPr>
              <w:t xml:space="preserve">determined by the Company in </w:t>
            </w:r>
            <w:r>
              <w:rPr>
                <w:rFonts w:ascii="Times New Roman" w:hAnsi="Times New Roman"/>
                <w:strike/>
                <w:color w:val="FF0000"/>
                <w:sz w:val="20"/>
              </w:rPr>
              <w:t>consultation with the Administrative Agent) of the investment in such Unrestricted Subsidiary at the time of such redesignation, in each case, to the extent such investment in such Unrestricted Subsidiary was made using the Available Amount pursuant to Section 6.04(q) (up to the amount of the original investment); 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[reserved]; plus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 Retained Prepayment Amounts; </w:t>
            </w:r>
            <w:r>
              <w:rPr>
                <w:rFonts w:ascii="Times New Roman" w:hAnsi="Times New Roman"/>
                <w:sz w:val="20"/>
                <w:u w:val="single"/>
              </w:rPr>
              <w:t>minus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investments made pursuant to Section 6.04(q) or any Restricted Payment made pursuant to Section 6.08(a)(iv), in each case, during the period commencing on the Effective Date and ending on the Reference Date (and, for purposes of this clause (viii), with respect to any contemplated transaction, without taking account of the intended usage of the Available Amount on such Reference Date in respect of such contemplated transaction), in each case, in reliance on the Available Amount. </w:t>
            </w:r>
          </w:p>
        </w:tc>
      </w:tr>
    </w:tbl>
    <w:p>
      <w:pPr>
        <w:pStyle w:val="TextBody"/>
        <w:bidi w:val="0"/>
        <w:spacing w:before="240" w:after="0"/>
        <w:jc w:val="left"/>
        <w:rPr/>
      </w:pPr>
      <w:r>
        <w:rPr/>
        <w:t>“</w:t>
      </w:r>
      <w:r>
        <w:rPr>
          <w:rFonts w:ascii="Times New Roman" w:hAnsi="Times New Roman"/>
          <w:sz w:val="20"/>
          <w:u w:val="single"/>
        </w:rPr>
        <w:t>Availability</w:t>
      </w:r>
      <w:r>
        <w:rPr>
          <w:rFonts w:ascii="Times New Roman" w:hAnsi="Times New Roman"/>
          <w:sz w:val="20"/>
        </w:rPr>
        <w:t xml:space="preserve">” means, at any time, an amount equal to (a) the aggregate Commitments </w:t>
      </w:r>
      <w:r>
        <w:rPr>
          <w:rFonts w:ascii="Times New Roman" w:hAnsi="Times New Roman"/>
          <w:i/>
          <w:sz w:val="20"/>
          <w:u w:val="single"/>
        </w:rPr>
        <w:t>minus</w:t>
      </w:r>
      <w:r>
        <w:rPr>
          <w:rFonts w:ascii="Times New Roman" w:hAnsi="Times New Roman"/>
          <w:sz w:val="20"/>
        </w:rPr>
        <w:t xml:space="preserve"> (b) the Aggregate Revolving Exposure (calculated, with respect to any Defaulting Lender, as if such Defaulting Lender had funded its Applicable Percentage of all outstanding Borrowings).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means the period from and including the Effective Date to but excluding the earlier of the Revolving Credit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Section 2.14(e).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Banking Services</w:t>
      </w:r>
      <w:r>
        <w:rPr>
          <w:rFonts w:ascii="Times New Roman" w:hAnsi="Times New Roman"/>
          <w:sz w:val="20"/>
        </w:rPr>
        <w:t xml:space="preserve">” means each and any of the following bank services provided to any Loan Party or any Restricted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and cash pooling services). </w:t>
      </w:r>
    </w:p>
    <w:p>
      <w:pPr>
        <w:pStyle w:val="TextBody"/>
        <w:bidi w:val="0"/>
        <w:spacing w:before="240" w:after="0"/>
        <w:jc w:val="left"/>
        <w:rPr/>
      </w:pPr>
      <w:r>
        <w:rPr/>
        <w:t>“</w:t>
      </w:r>
      <w:r>
        <w:rPr>
          <w:rFonts w:ascii="Times New Roman" w:hAnsi="Times New Roman"/>
          <w:sz w:val="20"/>
          <w:u w:val="single"/>
        </w:rPr>
        <w:t>Banking Services Obligations</w:t>
      </w:r>
      <w:r>
        <w:rPr>
          <w:rFonts w:ascii="Times New Roman" w:hAnsi="Times New Roman"/>
          <w:sz w:val="20"/>
        </w:rPr>
        <w:t xml:space="preserve">” means any and all obligations of the Loan Parties or their Restricted Subsidiaries, whether absolute or contingent and howsoever and whensoever created, arising, evidenced or acquired (including all renewals, extensions and modifications thereof and substitutions therefor) in connection with Banking Services.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Title 11 of the United States Code entitled “Bankruptcy,” as now and hereafter in effect, or any successor thereto, as hereafter amended. </w:t>
      </w:r>
    </w:p>
    <w:p>
      <w:pPr>
        <w:pStyle w:val="TextBody"/>
        <w:bidi w:val="0"/>
        <w:spacing w:before="240" w:after="0"/>
        <w:jc w:val="left"/>
        <w:rPr/>
      </w:pPr>
      <w:r>
        <w:rPr/>
        <w:t>“</w:t>
      </w:r>
      <w:r>
        <w:rPr>
          <w:rFonts w:ascii="Times New Roman" w:hAnsi="Times New Roman"/>
          <w:sz w:val="20"/>
          <w:u w:val="single"/>
        </w:rPr>
        <w:t>Bankruptcy Event</w:t>
      </w:r>
      <w:r>
        <w:rPr>
          <w:rFonts w:ascii="Times New Roman" w:hAnsi="Times New Roman"/>
          <w:sz w:val="20"/>
        </w:rPr>
        <w:t xml:space="preserve">” means, with respect to any Person, such Person files a petition or application seeking relief under any applicable Insolvency Law or similar law of any jurisdiction, when such Person becomes the subject of a voluntary or involuntary bankruptcy or insolvency proceeding, or has had a receiver, interim receiver, receiver and manager, liquidator, sequestrator, conservator, monitor, trustee, administrator, custodian, assignee for the benefit of creditors or similar Person charged with the reorganization, arrangement, wind-up, stay of proceedings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Canada or the U.S. or from the enforcement of judgments or writs of attachment on its assets or permits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with respect to any (i) RFR Loan, Daily Simple SOFR or Daily Simple CORRA, as applicable, (ii) Term Benchmark Loan, the Term SOFR Rate or Term CORRA Rate, as applicable; provided that, if a Benchmark Transition Event or a Term CORRA Reelection Event and the related Benchmark Replacement Date have occurred with respect to the applicable Relevant Rate or the then-current Benchmark for the applicable Agreed Currency, then “Benchmark” means the applicable Benchmark Replacement to the extent that such Benchmark Replacement has replaced such prior benchmark rate pursuant to Section 2.14(b).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Administrative Agent for the applicable Benchmark Replacement Date; provided that, in the case of any Loan denominated in an Alternative Currency (other than a Loan denominated in Canadian Dollars), “Benchmark Replacement” shall mean the alternative set forth in (2) below: </w:t>
      </w:r>
    </w:p>
    <w:p>
      <w:pPr>
        <w:pStyle w:val="TextBody"/>
        <w:bidi w:val="0"/>
        <w:spacing w:before="120" w:after="0"/>
        <w:jc w:val="left"/>
        <w:rPr>
          <w:rFonts w:ascii="Times New Roman" w:hAnsi="Times New Roman"/>
          <w:sz w:val="20"/>
        </w:rPr>
      </w:pPr>
      <w:r>
        <w:rPr>
          <w:rFonts w:ascii="Times New Roman" w:hAnsi="Times New Roman"/>
          <w:sz w:val="20"/>
        </w:rPr>
        <w:t xml:space="preserve">(1) (x) in the case of any Loan denominated in Dollars, the Adjusted Daily Simple SOFR and/or (y) in the case of any Loan denominated in Canadian Dollars, Adjusted Daily Simple CORRA;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at such time; and (b)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 </w:t>
      </w:r>
    </w:p>
    <w:p>
      <w:pPr>
        <w:pStyle w:val="TextBody"/>
        <w:bidi w:val="0"/>
        <w:spacing w:before="240" w:after="0"/>
        <w:jc w:val="left"/>
        <w:rPr>
          <w:rFonts w:ascii="Times New Roman" w:hAnsi="Times New Roman"/>
          <w:sz w:val="20"/>
        </w:rPr>
      </w:pPr>
      <w:r>
        <w:rPr>
          <w:rFonts w:ascii="Times New Roman" w:hAnsi="Times New Roman"/>
          <w:sz w:val="20"/>
        </w:rPr>
        <w:t xml:space="preserve">If the Benchmark Replacement as determined pursuant to clause (1) or (2) above would be less than the Floor, the Benchmark Replacement will be deemed to be the Floor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 </w:t>
      </w:r>
    </w:p>
    <w:p>
      <w:pPr>
        <w:pStyle w:val="TextBody"/>
        <w:bidi w:val="0"/>
        <w:spacing w:before="240" w:after="0"/>
        <w:jc w:val="left"/>
        <w:rPr/>
      </w:pPr>
      <w:r>
        <w:rPr/>
        <w:t>“</w:t>
      </w:r>
      <w:r>
        <w:rPr>
          <w:rFonts w:ascii="Times New Roman" w:hAnsi="Times New Roman"/>
          <w:sz w:val="20"/>
          <w:u w:val="single"/>
        </w:rPr>
        <w:t>Benchmark Replacement Conforming Changes</w:t>
      </w:r>
      <w:r>
        <w:rPr>
          <w:rFonts w:ascii="Times New Roman" w:hAnsi="Times New Roman"/>
          <w:sz w:val="20"/>
        </w:rPr>
        <w:t xml:space="preserve">” means, with respect to any Benchmark Replacement,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with respect to any Benchmark, the earliest to occur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the case of clause (3)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 longer 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(3) and even if such Benchmark (or such component thereof) or, if such Benchmark is a term rate, any Available Tenor of such Benchmark (or such component thereof) continues to be provided on such date; or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Term CORRA Reelection Event, the date that is thirty (30) days after the date a Term CORRA Notice (if any) is provided to the Lenders and the Borrower Representative pursuant to Section 2.14(c).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with respect to any Benchmark, the occurrence of one or more of the following events with respect to such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Section 3(3) of ERISA) that is subject to Title I of ERISA, (b) a “plan” as defined in and subject to Section 4975 of the Code, and (c) any Person whose assets include (for purposes of the Plan Asset Regulations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board of directors” means, with respect to any Person, (i) in the case of any corporation, the board of directors of such Person, (ii) in the case of any limited liability company, the managers, board of managers or managing members of such Person, (iii) in the case of any partnership, the general partners of such partnership (or the board of directors of the general partner of such Person, if any) and (iv) in any other case, the functional equivalent of the foregoing.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Bona Fide Debt Fund</w:t>
      </w:r>
      <w:r>
        <w:rPr>
          <w:rFonts w:ascii="Times New Roman" w:hAnsi="Times New Roman"/>
          <w:sz w:val="20"/>
        </w:rPr>
        <w:t xml:space="preserve">” means any bona fide debt fund, investment vehicle, regulated banking entity or non-regulated lending entity that is primarily engaged in making, purchasing, holding or otherwise investing in commercial loans or bonds and/or similar extensions of credit in the ordinary course of business and whose managers have fiduciary duties to the third-party investors in such fund or investment vehicle independent of their duties (if any) to the Company </w:t>
      </w:r>
      <w:r>
        <w:rPr>
          <w:rFonts w:ascii="Times New Roman" w:hAnsi="Times New Roman"/>
          <w:color w:val="0000FF"/>
          <w:sz w:val="20"/>
          <w:u w:val="single"/>
          <w:bdr w:val="double" w:sz="2" w:space="1" w:color="000000"/>
        </w:rPr>
        <w:t>(</w:t>
      </w:r>
      <w:r>
        <w:rPr>
          <w:rFonts w:ascii="Times New Roman" w:hAnsi="Times New Roman"/>
          <w:sz w:val="20"/>
        </w:rPr>
        <w:t>or</w:t>
      </w:r>
      <w:r>
        <w:rPr>
          <w:rFonts w:ascii="Times New Roman" w:hAnsi="Times New Roman"/>
          <w:strike/>
          <w:color w:val="FF0000"/>
          <w:sz w:val="20"/>
        </w:rPr>
        <w:t xml:space="preserve"> LKCM Headwater Investments III, L.P.</w:t>
      </w:r>
      <w:r>
        <w:rPr>
          <w:rFonts w:ascii="Times New Roman" w:hAnsi="Times New Roman"/>
          <w:color w:val="0000FF"/>
          <w:sz w:val="20"/>
          <w:u w:val="single"/>
          <w:bdr w:val="double" w:sz="2" w:space="1" w:color="000000"/>
        </w:rPr>
        <w:t>, after the consummation of the Take-Private Transaction, HoldCo) or Sponsor</w:t>
      </w:r>
      <w:r>
        <w:rPr>
          <w:rFonts w:ascii="Times New Roman" w:hAnsi="Times New Roman"/>
          <w:sz w:val="20"/>
        </w:rPr>
        <w:t xml:space="preserve">; provided, however, in no event shall (x) any natural Person or (y) any Borrower or any Subsidiary thereof be a “Bona Fide Debt Fund”.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or “</w:t>
      </w:r>
      <w:r>
        <w:rPr>
          <w:rFonts w:ascii="Times New Roman" w:hAnsi="Times New Roman"/>
          <w:sz w:val="20"/>
          <w:u w:val="single"/>
        </w:rPr>
        <w:t>Borrowers</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Borrower Communications</w:t>
      </w:r>
      <w:r>
        <w:rPr>
          <w:rFonts w:ascii="Times New Roman" w:hAnsi="Times New Roman"/>
          <w:sz w:val="20"/>
        </w:rPr>
        <w:t xml:space="preserve">” has the meaning assigned to such term in Section 8.12(a). </w:t>
      </w:r>
    </w:p>
    <w:p>
      <w:pPr>
        <w:pStyle w:val="TextBody"/>
        <w:bidi w:val="0"/>
        <w:spacing w:before="240" w:after="0"/>
        <w:jc w:val="left"/>
        <w:rPr/>
      </w:pPr>
      <w:r>
        <w:rPr/>
        <w:t>“</w:t>
      </w:r>
      <w:r>
        <w:rPr>
          <w:rFonts w:ascii="Times New Roman" w:hAnsi="Times New Roman"/>
          <w:sz w:val="20"/>
          <w:u w:val="single"/>
        </w:rPr>
        <w:t>Borrower Representative</w:t>
      </w:r>
      <w:r>
        <w:rPr>
          <w:rFonts w:ascii="Times New Roman" w:hAnsi="Times New Roman"/>
          <w:sz w:val="20"/>
        </w:rPr>
        <w:t xml:space="preserve">” has the meaning assigned to such term in Section 11.01.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Borrowing</w:t>
      </w:r>
      <w:r>
        <w:rPr>
          <w:rFonts w:ascii="Times New Roman" w:hAnsi="Times New Roman"/>
          <w:sz w:val="20"/>
        </w:rPr>
        <w:t xml:space="preserve">” means (a) Revolving Loans of the same Type and currency, made, converted or continued on the same date and, in the case of Term Benchmark Loans, as to which a single Interest Period is in effect, (b) Term Loans of the same Class and Type, made, converted or continued on the same date and, in the case of Term Benchmark Loans, as to which a single Interest Period is in effect, or (c) a Swingline Loan.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the Borrower Representative for a Borrowing in accordance with Section 2.03, which shall be substantially in the form approved by the Administrative Agent and separately provided to the Borrowers. </w:t>
      </w:r>
    </w:p>
    <w:p>
      <w:pPr>
        <w:pStyle w:val="TextBody"/>
        <w:bidi w:val="0"/>
        <w:spacing w:before="240" w:after="0"/>
        <w:jc w:val="left"/>
        <w:rPr/>
      </w:pPr>
      <w:r>
        <w:rPr/>
        <w:t>“</w:t>
      </w:r>
      <w:r>
        <w:rPr>
          <w:rFonts w:ascii="Times New Roman" w:hAnsi="Times New Roman"/>
          <w:sz w:val="20"/>
          <w:u w:val="single"/>
        </w:rPr>
        <w:t>Burdensome Restrictions</w:t>
      </w:r>
      <w:r>
        <w:rPr>
          <w:rFonts w:ascii="Times New Roman" w:hAnsi="Times New Roman"/>
          <w:sz w:val="20"/>
        </w:rPr>
        <w:t xml:space="preserve">” means any consensual encumbrance or restriction of the type described in clause (a) or (b) of Section 6.10.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on which commercial banks in New York City or Toronto, Ontario, Vancouver, British Columbia or Calgary, Alberta, are authorized or required by law to remain closed; </w:t>
      </w:r>
      <w:r>
        <w:rPr>
          <w:rFonts w:ascii="Times New Roman" w:hAnsi="Times New Roman"/>
          <w:sz w:val="20"/>
          <w:u w:val="single"/>
        </w:rPr>
        <w:t>provided</w:t>
      </w:r>
      <w:r>
        <w:rPr>
          <w:rFonts w:ascii="Times New Roman" w:hAnsi="Times New Roman"/>
          <w:sz w:val="20"/>
        </w:rPr>
        <w:t xml:space="preserve"> that, in relation to RFR Loans denominated in Dollars and any interest rate settings, fundings, disbursements, settlements or payments of any such RFR Loan or an ABR Loan based on the Adjusted Term SOFR Rate, “Business Day” shall mean any such day that is a U.S. Government Securities Business Day. </w:t>
      </w:r>
    </w:p>
    <w:p>
      <w:pPr>
        <w:pStyle w:val="TextBody"/>
        <w:bidi w:val="0"/>
        <w:spacing w:before="240" w:after="0"/>
        <w:jc w:val="left"/>
        <w:rPr/>
      </w:pPr>
      <w:r>
        <w:rPr/>
        <w:t>“</w:t>
      </w:r>
      <w:r>
        <w:rPr>
          <w:rFonts w:ascii="Times New Roman" w:hAnsi="Times New Roman"/>
          <w:sz w:val="20"/>
          <w:u w:val="single"/>
        </w:rPr>
        <w:t>CAM</w:t>
      </w:r>
      <w:r>
        <w:rPr>
          <w:rFonts w:ascii="Times New Roman" w:hAnsi="Times New Roman"/>
          <w:sz w:val="20"/>
        </w:rPr>
        <w:t xml:space="preserve">” means the mechanism for the allocation and exchange of interests in the Designated Obligations and collections thereunder established under Article XII. </w:t>
      </w:r>
    </w:p>
    <w:p>
      <w:pPr>
        <w:pStyle w:val="TextBody"/>
        <w:bidi w:val="0"/>
        <w:spacing w:before="240" w:after="0"/>
        <w:jc w:val="left"/>
        <w:rPr/>
      </w:pPr>
      <w:r>
        <w:rPr/>
        <w:t>“</w:t>
      </w:r>
      <w:r>
        <w:rPr>
          <w:rFonts w:ascii="Times New Roman" w:hAnsi="Times New Roman"/>
          <w:sz w:val="20"/>
          <w:u w:val="single"/>
        </w:rPr>
        <w:t>CAM Exchange</w:t>
      </w:r>
      <w:r>
        <w:rPr>
          <w:rFonts w:ascii="Times New Roman" w:hAnsi="Times New Roman"/>
          <w:sz w:val="20"/>
        </w:rPr>
        <w:t xml:space="preserve">” means the exchange of the Lenders’ interests provided for in Article XII. </w:t>
      </w:r>
    </w:p>
    <w:p>
      <w:pPr>
        <w:pStyle w:val="TextBody"/>
        <w:bidi w:val="0"/>
        <w:spacing w:before="240" w:after="0"/>
        <w:jc w:val="left"/>
        <w:rPr/>
      </w:pPr>
      <w:r>
        <w:rPr/>
        <w:t>“</w:t>
      </w:r>
      <w:r>
        <w:rPr>
          <w:rFonts w:ascii="Times New Roman" w:hAnsi="Times New Roman"/>
          <w:sz w:val="20"/>
          <w:u w:val="single"/>
        </w:rPr>
        <w:t>CAM Exchange Date</w:t>
      </w:r>
      <w:r>
        <w:rPr>
          <w:rFonts w:ascii="Times New Roman" w:hAnsi="Times New Roman"/>
          <w:sz w:val="20"/>
        </w:rPr>
        <w:t xml:space="preserve">” means the first date on which there shall occur (a) any event referred to in Section 7.01(h) or (i) with respect to any Borrower or (b) an acceleration of Loans pursuant to Section 7.02. </w:t>
      </w:r>
    </w:p>
    <w:p>
      <w:pPr>
        <w:pStyle w:val="TextBody"/>
        <w:bidi w:val="0"/>
        <w:spacing w:before="240" w:after="0"/>
        <w:jc w:val="left"/>
        <w:rPr/>
      </w:pPr>
      <w:r>
        <w:rPr/>
        <w:t>“</w:t>
      </w:r>
      <w:r>
        <w:rPr>
          <w:rFonts w:ascii="Times New Roman" w:hAnsi="Times New Roman"/>
          <w:sz w:val="20"/>
          <w:u w:val="single"/>
        </w:rPr>
        <w:t>CAM Percentage</w:t>
      </w:r>
      <w:r>
        <w:rPr>
          <w:rFonts w:ascii="Times New Roman" w:hAnsi="Times New Roman"/>
          <w:sz w:val="20"/>
        </w:rPr>
        <w:t xml:space="preserve">” means, as to each Revolving Lender, a fraction, expressed as a decimal, of which (a) the numerator shall be the aggregate Dollar Equivalent amount (determined on the basis of Exchange Rates prevailing on the CAM Exchange Date) of the Designated Obligations owed to such Lender (whether or not at the time due and payable) on the date immediately prior to the CAM Exchange Date and (b) the denominator shall be the Dollar Equivalent amount (as so determined) of the Designated Obligations owed to all the Revolving Lenders (whether or not at the time due and payable) on the date immediately prior to the CAM Exchange Date. </w:t>
      </w:r>
    </w:p>
    <w:p>
      <w:pPr>
        <w:pStyle w:val="TextBody"/>
        <w:bidi w:val="0"/>
        <w:spacing w:before="240" w:after="0"/>
        <w:jc w:val="left"/>
        <w:rPr/>
      </w:pPr>
      <w:r>
        <w:rPr/>
        <w:t>“</w:t>
      </w:r>
      <w:r>
        <w:rPr>
          <w:rFonts w:ascii="Times New Roman" w:hAnsi="Times New Roman"/>
          <w:sz w:val="20"/>
          <w:u w:val="single"/>
        </w:rPr>
        <w:t>CAML</w:t>
      </w:r>
      <w:r>
        <w:rPr>
          <w:rFonts w:ascii="Times New Roman" w:hAnsi="Times New Roman"/>
          <w:sz w:val="20"/>
        </w:rPr>
        <w:t xml:space="preserve">” means the </w:t>
      </w:r>
      <w:r>
        <w:rPr>
          <w:rFonts w:ascii="Times New Roman" w:hAnsi="Times New Roman"/>
          <w:i/>
          <w:sz w:val="20"/>
        </w:rPr>
        <w:t>Proceeds of Crime (Money Laundering) and Terrorist Financing Act</w:t>
      </w:r>
      <w:r>
        <w:rPr>
          <w:rFonts w:ascii="Times New Roman" w:hAnsi="Times New Roman"/>
          <w:sz w:val="20"/>
        </w:rPr>
        <w:t xml:space="preserve"> (Canada) and other anti-terrorism laws and “know your client” policies, regulations, laws or rules applicable in Canada, including any guidelines or orders thereunder. </w:t>
      </w:r>
    </w:p>
    <w:p>
      <w:pPr>
        <w:pStyle w:val="TextBody"/>
        <w:bidi w:val="0"/>
        <w:spacing w:before="240" w:after="0"/>
        <w:jc w:val="left"/>
        <w:rPr/>
      </w:pPr>
      <w:r>
        <w:rPr/>
        <w:t>“</w:t>
      </w:r>
      <w:r>
        <w:rPr>
          <w:rFonts w:ascii="Times New Roman" w:hAnsi="Times New Roman"/>
          <w:sz w:val="20"/>
          <w:u w:val="single"/>
        </w:rPr>
        <w:t>Canadian Borrower</w:t>
      </w:r>
      <w:r>
        <w:rPr>
          <w:rFonts w:ascii="Times New Roman" w:hAnsi="Times New Roman"/>
          <w:sz w:val="20"/>
        </w:rPr>
        <w:t>” or “</w:t>
      </w:r>
      <w:r>
        <w:rPr>
          <w:rFonts w:ascii="Times New Roman" w:hAnsi="Times New Roman"/>
          <w:sz w:val="20"/>
          <w:u w:val="single"/>
        </w:rPr>
        <w:t>Canadian Borrowers</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Canadian Defined Benefit Pension Plan</w:t>
      </w:r>
      <w:r>
        <w:rPr>
          <w:rFonts w:ascii="Times New Roman" w:hAnsi="Times New Roman"/>
          <w:sz w:val="20"/>
        </w:rPr>
        <w:t xml:space="preserve">” means any Canadian Pension Plan which contains a “defined benefit provision,” as defined in subsection 147.1(1) of the Income Tax Act (Canada). </w:t>
      </w:r>
    </w:p>
    <w:p>
      <w:pPr>
        <w:pStyle w:val="TextBody"/>
        <w:bidi w:val="0"/>
        <w:spacing w:before="240" w:after="0"/>
        <w:jc w:val="left"/>
        <w:rPr/>
      </w:pPr>
      <w:r>
        <w:rPr/>
        <w:t>“</w:t>
      </w:r>
      <w:r>
        <w:rPr>
          <w:rFonts w:ascii="Times New Roman" w:hAnsi="Times New Roman"/>
          <w:sz w:val="20"/>
          <w:u w:val="single"/>
        </w:rPr>
        <w:t xml:space="preserve">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or “</w:t>
      </w:r>
      <w:r>
        <w:rPr>
          <w:rFonts w:ascii="Times New Roman" w:hAnsi="Times New Roman"/>
          <w:sz w:val="20"/>
          <w:u w:val="single"/>
        </w:rPr>
        <w:t>C$</w:t>
      </w:r>
      <w:r>
        <w:rPr>
          <w:rFonts w:ascii="Times New Roman" w:hAnsi="Times New Roman"/>
          <w:sz w:val="20"/>
        </w:rPr>
        <w:t>” or “</w:t>
      </w:r>
      <w:r>
        <w:rPr>
          <w:rFonts w:ascii="Times New Roman" w:hAnsi="Times New Roman"/>
          <w:sz w:val="20"/>
          <w:u w:val="single"/>
        </w:rPr>
        <w:t>Cdn $</w:t>
      </w:r>
      <w:r>
        <w:rPr>
          <w:rFonts w:ascii="Times New Roman" w:hAnsi="Times New Roman"/>
          <w:sz w:val="20"/>
        </w:rPr>
        <w:t xml:space="preserve">” refers to lawful currency of Canada. </w:t>
      </w:r>
    </w:p>
    <w:p>
      <w:pPr>
        <w:pStyle w:val="TextBody"/>
        <w:bidi w:val="0"/>
        <w:spacing w:before="240" w:after="0"/>
        <w:jc w:val="left"/>
        <w:rPr/>
      </w:pPr>
      <w:r>
        <w:rPr/>
        <w:t>“</w:t>
      </w:r>
      <w:r>
        <w:rPr>
          <w:rFonts w:ascii="Times New Roman" w:hAnsi="Times New Roman"/>
          <w:sz w:val="20"/>
          <w:u w:val="single"/>
        </w:rPr>
        <w:t>Canadian Economic Sanctions and Export Control Laws</w:t>
      </w:r>
      <w:r>
        <w:rPr>
          <w:rFonts w:ascii="Times New Roman" w:hAnsi="Times New Roman"/>
          <w:sz w:val="20"/>
        </w:rPr>
        <w:t xml:space="preserve">” means any Canadian laws, regulations or orders governing transactions in controlled goods or technologies or dealings with countries, entities, organizations, or individuals subject to economic sanctions and similar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Guaranteed Obligations</w:t>
      </w:r>
      <w:r>
        <w:rPr>
          <w:rFonts w:ascii="Times New Roman" w:hAnsi="Times New Roman"/>
          <w:sz w:val="20"/>
        </w:rPr>
        <w:t xml:space="preserve">” has the meaning assigned to such term in Section 10.01(b). </w:t>
      </w:r>
    </w:p>
    <w:p>
      <w:pPr>
        <w:pStyle w:val="TextBody"/>
        <w:bidi w:val="0"/>
        <w:spacing w:before="240" w:after="0"/>
        <w:jc w:val="left"/>
        <w:rPr/>
      </w:pPr>
      <w:r>
        <w:rPr/>
        <w:t>“</w:t>
      </w:r>
      <w:r>
        <w:rPr>
          <w:rFonts w:ascii="Times New Roman" w:hAnsi="Times New Roman"/>
          <w:sz w:val="20"/>
          <w:u w:val="single"/>
        </w:rPr>
        <w:t>Canadian Loan Guarantors</w:t>
      </w:r>
      <w:r>
        <w:rPr>
          <w:rFonts w:ascii="Times New Roman" w:hAnsi="Times New Roman"/>
          <w:sz w:val="20"/>
        </w:rPr>
        <w:t xml:space="preserve">” means, individually or collectively, as the context may require, the Canadian Borrowers, any Canadian Subsidiary that is not a Canadian Borrower and has executed a signature page to this Agreement, and any other Canadian Subsidiary of a Loan Party who becomes a party to this Agreement pursuant to a Joinder Agreement, and, in each case, their respective successors and assigns. </w:t>
      </w:r>
    </w:p>
    <w:p>
      <w:pPr>
        <w:pStyle w:val="TextBody"/>
        <w:bidi w:val="0"/>
        <w:spacing w:before="240" w:after="0"/>
        <w:jc w:val="left"/>
        <w:rPr/>
      </w:pPr>
      <w:r>
        <w:rPr/>
        <w:t>“</w:t>
      </w:r>
      <w:r>
        <w:rPr>
          <w:rFonts w:ascii="Times New Roman" w:hAnsi="Times New Roman"/>
          <w:sz w:val="20"/>
          <w:u w:val="single"/>
        </w:rPr>
        <w:t>Canadian Loan Party</w:t>
      </w:r>
      <w:r>
        <w:rPr>
          <w:rFonts w:ascii="Times New Roman" w:hAnsi="Times New Roman"/>
          <w:sz w:val="20"/>
        </w:rPr>
        <w:t xml:space="preserve">” means, individually or collectively, as the context may require, the Canadian Borrowers and the Canadian Loan Guarantors. </w:t>
      </w:r>
    </w:p>
    <w:p>
      <w:pPr>
        <w:pStyle w:val="TextBody"/>
        <w:bidi w:val="0"/>
        <w:spacing w:before="240" w:after="0"/>
        <w:jc w:val="left"/>
        <w:rPr/>
      </w:pPr>
      <w:r>
        <w:rPr/>
        <w:t>“</w:t>
      </w:r>
      <w:r>
        <w:rPr>
          <w:rFonts w:ascii="Times New Roman" w:hAnsi="Times New Roman"/>
          <w:sz w:val="20"/>
          <w:u w:val="single"/>
        </w:rPr>
        <w:t>Canadian Pension Event</w:t>
      </w:r>
      <w:r>
        <w:rPr>
          <w:rFonts w:ascii="Times New Roman" w:hAnsi="Times New Roman"/>
          <w:sz w:val="20"/>
        </w:rPr>
        <w:t xml:space="preserve">” means (a) any Loan Party shall, directly or indirectly, terminate or cause to terminate, in whole or in part, or initiate the termination of, in whole or in part, any Canadian Defined Benefit Pension Plan so as to result in any liability; (b) any Loan Party shall fail to make minimum required contributions to amortize any funding deficiencies under a Canadian Defined Benefit Pension Plan within the time period set out in applicable laws or fail to make a required contribution under any Canadian Pension Plan which could result in the imposition of a priority Lien upon the assets of any Canadian Loan Party; or (c) any Canadian Loan Party makes any improper withdrawals or applications of assets of a Canadian Pension Plan. </w:t>
      </w:r>
    </w:p>
    <w:p>
      <w:pPr>
        <w:pStyle w:val="TextBody"/>
        <w:bidi w:val="0"/>
        <w:spacing w:before="240" w:after="0"/>
        <w:jc w:val="left"/>
        <w:rPr/>
      </w:pPr>
      <w:r>
        <w:rPr/>
        <w:t>“</w:t>
      </w:r>
      <w:r>
        <w:rPr>
          <w:rFonts w:ascii="Times New Roman" w:hAnsi="Times New Roman"/>
          <w:sz w:val="20"/>
          <w:u w:val="single"/>
        </w:rPr>
        <w:t>Canadian Pension Plans</w:t>
      </w:r>
      <w:r>
        <w:rPr>
          <w:rFonts w:ascii="Times New Roman" w:hAnsi="Times New Roman"/>
          <w:sz w:val="20"/>
        </w:rPr>
        <w:t xml:space="preserve">” means each pension plan required to be registered under Canadian federal or provincial pension standards legislation that is administered or contributed to by a Loan Party or any Restricted Subsidiary of any Loan Party for its employees or former employees, but does not include the Canada Pension Plan or the Quebec Pension Plan as maintained by the Government of Canada or the Province of Quebec, respectively. </w:t>
      </w:r>
    </w:p>
    <w:p>
      <w:pPr>
        <w:pStyle w:val="TextBody"/>
        <w:bidi w:val="0"/>
        <w:spacing w:before="240" w:after="0"/>
        <w:jc w:val="left"/>
        <w:rPr/>
      </w:pPr>
      <w:r>
        <w:rPr/>
        <w:t>“</w:t>
      </w:r>
      <w:r>
        <w:rPr>
          <w:rFonts w:ascii="Times New Roman" w:hAnsi="Times New Roman"/>
          <w:sz w:val="20"/>
          <w:u w:val="single"/>
        </w:rPr>
        <w:t>Canadian Prime Rate</w:t>
      </w:r>
      <w:r>
        <w:rPr>
          <w:rFonts w:ascii="Times New Roman" w:hAnsi="Times New Roman"/>
          <w:sz w:val="20"/>
        </w:rPr>
        <w:t xml:space="preserve">” means, on any day, a rate per annum determined by the Administrative Agent to be the higher of (a) the rate equal to the PRIMCAN Index rate that appears on the Bloomberg screen at 10:15 a.m. Toronto, Ontario time on such day (or, in the event that the PRIMCAN Index is not published by Bloomberg, any other information service that publishes such index from time to time, as selected by the Administrative Agent in its reasonable discretion), and (b) the sum of (i) the Adjusted Term CORRA Rate for a one month Interest Period at approximately 10:15 a.m., Toronto, Ontario time on such day (and, if such day is not a Business Day, then on the immediately preceding Business Day), plus (ii) 1% per annum; provided, that if any of the above rates shall be less than 0% per annum, such rate shall be deemed to be 0% per annum for purposes of this Agreement. Any change in the Canadian Prime Rate due to a change in the PRIMCAN Index or the Adjusted Term CORRA Rate shall be effective from and including the effective date of such change in the PRIMCAN Index or the Adjusted Term CORRA Rate, respectively. When used in reference to any Loan or Borrowing, Canadian Prime Rate refers to whether such Loan, or the Loans comprising such Borrowing, is bearing interest at a rate determined by reference to the Canadian Prime Rate. If the Canadian Prime Rate is being used as an alternate rate of interest pursuant to Section 2.14 (for the avoidance of doubt, only until the applicable Benchmark Replacement has been determined pursuant to Section 2.14(b)), then the Canadian Prime Rate shall be determined solely by reference to clause (a) above and shall be determined without reference to clause (b) above. </w:t>
      </w:r>
    </w:p>
    <w:p>
      <w:pPr>
        <w:pStyle w:val="TextBody"/>
        <w:bidi w:val="0"/>
        <w:spacing w:before="240" w:after="0"/>
        <w:jc w:val="left"/>
        <w:rPr/>
      </w:pPr>
      <w:r>
        <w:rPr/>
        <w:t>“</w:t>
      </w:r>
      <w:r>
        <w:rPr>
          <w:rFonts w:ascii="Times New Roman" w:hAnsi="Times New Roman"/>
          <w:sz w:val="20"/>
          <w:u w:val="single"/>
        </w:rPr>
        <w:t>Canadian Priority Payables</w:t>
      </w:r>
      <w:r>
        <w:rPr>
          <w:rFonts w:ascii="Times New Roman" w:hAnsi="Times New Roman"/>
          <w:sz w:val="20"/>
        </w:rPr>
        <w:t xml:space="preserve">” means, with respect to any Person, any amount payable by such Person which is secured by a Lien which ranks or is capable of ranking prior to or </w:t>
      </w:r>
      <w:r>
        <w:rPr>
          <w:rFonts w:ascii="Times New Roman" w:hAnsi="Times New Roman"/>
          <w:i/>
          <w:sz w:val="20"/>
        </w:rPr>
        <w:t>pari passu</w:t>
      </w:r>
      <w:r>
        <w:rPr>
          <w:rFonts w:ascii="Times New Roman" w:hAnsi="Times New Roman"/>
          <w:sz w:val="20"/>
        </w:rPr>
        <w:t xml:space="preserve"> with the Liens created by the Collateral Documents, including amounts owing for wages, vacation pay, severance pay (to the extent capable of ranking prior to the Liens under the Collateral Documents under Applicable Law), employee deductions, sales tax, excise tax, Tax payable pursuant to the Excise Tax Act (Canada) (net of GST input credits), income tax, workers compensation, government royalties, contributions to a Canadian Pension Plan, real property tax and other statutory or other claims that have or may have priority over, or rank </w:t>
      </w:r>
      <w:r>
        <w:rPr>
          <w:rFonts w:ascii="Times New Roman" w:hAnsi="Times New Roman"/>
          <w:i/>
          <w:sz w:val="20"/>
        </w:rPr>
        <w:t>pari passu</w:t>
      </w:r>
      <w:r>
        <w:rPr>
          <w:rFonts w:ascii="Times New Roman" w:hAnsi="Times New Roman"/>
          <w:sz w:val="20"/>
        </w:rPr>
        <w:t xml:space="preserve"> with, such Liens created by the Collateral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Secured Obligations</w:t>
      </w:r>
      <w:r>
        <w:rPr>
          <w:rFonts w:ascii="Times New Roman" w:hAnsi="Times New Roman"/>
          <w:sz w:val="20"/>
        </w:rPr>
        <w:t xml:space="preserve">” means all Obligations of the Canadian Loan Parties, together with all (i) Banking Services Obligations of the Canadian Loan Parties and the Foreign Subsidiaries and (ii) Swap Agreement Obligations of the Canadian Loan Parties and the Foreign Subsidiaries, in each case, owing to one or more Lenders or their respective Affiliates; provided, however, that the definition of “Canadian Secured Obligations” shall not create any guarantee by any Guarantor of (or grant of security interest by any Guarantor to support, as applicable) any Excluded Swap Obligations of such Guarantor for purposes of determining any obligations of any Guarantor. For the avoidance of doubt, Canadian Secured Obligations shall not include any U.S. Secured Obligations. </w:t>
      </w:r>
    </w:p>
    <w:p>
      <w:pPr>
        <w:pStyle w:val="TextBody"/>
        <w:bidi w:val="0"/>
        <w:spacing w:before="240" w:after="0"/>
        <w:jc w:val="left"/>
        <w:rPr/>
      </w:pPr>
      <w:r>
        <w:rPr/>
        <w:t>“</w:t>
      </w:r>
      <w:r>
        <w:rPr>
          <w:rFonts w:ascii="Times New Roman" w:hAnsi="Times New Roman"/>
          <w:sz w:val="20"/>
          <w:u w:val="single"/>
        </w:rPr>
        <w:t>Canadian Security Agreement</w:t>
      </w:r>
      <w:r>
        <w:rPr>
          <w:rFonts w:ascii="Times New Roman" w:hAnsi="Times New Roman"/>
          <w:sz w:val="20"/>
        </w:rPr>
        <w:t xml:space="preserve">” means, individually or collectively, as the context may require, (a) that certain Second Amended and Restated Canadian Pledge and Security Agreement (including any and all supplements thereto), dated as of the date hereof, among certain of the Canadian Loan Parties and the Administrative Agent, for the benefit of the Administrative Agent and the other Secured Parties, and (b) any other pledge, hypothec or security agreement entered into, after the date of this Agreement by any other Canadian Loan Party (as required by this Agreement or any other Loan Document) or any other Person for the benefit of the Administrative Agent and the other Secured Parties, in each case,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Canadian Subsidiary</w:t>
      </w:r>
      <w:r>
        <w:rPr>
          <w:rFonts w:ascii="Times New Roman" w:hAnsi="Times New Roman"/>
          <w:sz w:val="20"/>
        </w:rPr>
        <w:t xml:space="preserve">” means any direct or indirect Restricted Subsidiary of a Loan Party that is organized under the laws of Canada or any province or territory thereof. </w:t>
      </w:r>
    </w:p>
    <w:p>
      <w:pPr>
        <w:pStyle w:val="TextBody"/>
        <w:bidi w:val="0"/>
        <w:spacing w:before="240" w:after="0"/>
        <w:jc w:val="left"/>
        <w:rPr/>
      </w:pPr>
      <w:r>
        <w:rPr/>
        <w:t>“</w:t>
      </w:r>
      <w:r>
        <w:rPr>
          <w:rFonts w:ascii="Times New Roman" w:hAnsi="Times New Roman"/>
          <w:sz w:val="20"/>
          <w:u w:val="single"/>
        </w:rPr>
        <w:t>Capital Lease Obligations</w:t>
      </w:r>
      <w:r>
        <w:rPr>
          <w:rFonts w:ascii="Times New Roman" w:hAnsi="Times New Roman"/>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or finance lease obligations on a balance sheet of such Person under GAAP, and the amount of such obligations shall be the capitalized amount thereof determined in accordance with GAAP.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Cash Equivalents” means (a) Dollars, (b) Canadian Dollars, (c) in the case of any Foreign Subsidiary (other than any Canadian Subsidiary) or any jurisdiction (other than the U.S. or Canada) in which any Borrower or any Restricted Subsidiary conducts business, such local currencies held by it from time to time in the ordinary course of business or consistent with industry practice, and (d) Permitted Investments.</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Certain Funds Period” means the period beginning on the First Amendment Date through and including the earlier of (x) the Effective Time and (y) January 8, 2027.</w:t>
      </w:r>
      <w:r>
        <w:rPr>
          <w:rFonts w:ascii="Times New Roman" w:hAnsi="Times New Roman"/>
          <w:sz w:val="20"/>
        </w:rPr>
        <w:t xml:space="preserve"> </w:t>
      </w:r>
    </w:p>
    <w:p>
      <w:pPr>
        <w:pStyle w:val="TextBody"/>
        <w:bidi w:val="0"/>
        <w:spacing w:before="240" w:after="0"/>
        <w:jc w:val="left"/>
        <w:rPr>
          <w:color w:val="0000FF"/>
          <w:u w:val="single"/>
          <w:bdr w:val="double" w:sz="2" w:space="1" w:color="000000"/>
        </w:rPr>
      </w:pPr>
      <w:r>
        <w:rPr>
          <w:color w:val="0000FF"/>
          <w:u w:val="single"/>
          <w:bdr w:val="double" w:sz="2" w:space="1" w:color="000000"/>
        </w:rPr>
        <w:t>“</w:t>
      </w:r>
      <w:r>
        <w:rPr>
          <w:rFonts w:ascii="Times New Roman" w:hAnsi="Times New Roman"/>
          <w:color w:val="0000FF"/>
          <w:sz w:val="20"/>
          <w:u w:val="single"/>
          <w:bdr w:val="double" w:sz="2" w:space="1" w:color="000000"/>
        </w:rPr>
        <w:t xml:space="preserve">Change in Control” means: </w:t>
      </w:r>
    </w:p>
    <w:p>
      <w:pPr>
        <w:pStyle w:val="TextBody"/>
        <w:bidi w:val="0"/>
        <w:spacing w:before="240" w:after="0"/>
        <w:jc w:val="left"/>
        <w:rPr/>
      </w:pPr>
      <w:r>
        <w:rPr>
          <w:strike/>
          <w:color w:val="FF0000"/>
        </w:rPr>
        <w:t>“</w:t>
      </w:r>
      <w:r>
        <w:rPr>
          <w:rFonts w:ascii="Times New Roman" w:hAnsi="Times New Roman"/>
          <w:strike/>
          <w:color w:val="FF0000"/>
          <w:sz w:val="20"/>
        </w:rPr>
        <w:t>Change in Control” means (a)</w:t>
      </w:r>
      <w:r>
        <w:rPr>
          <w:rFonts w:ascii="Times New Roman" w:hAnsi="Times New Roman"/>
          <w:color w:val="0000FF"/>
          <w:sz w:val="20"/>
          <w:u w:val="single"/>
          <w:bdr w:val="double" w:sz="2" w:space="1" w:color="000000"/>
        </w:rPr>
        <w:t>(a) prior to the consummation of the Take-Private Transaction, (i)</w:t>
      </w:r>
      <w:r>
        <w:rPr>
          <w:rFonts w:ascii="Times New Roman" w:hAnsi="Times New Roman"/>
          <w:sz w:val="20"/>
        </w:rPr>
        <w:t xml:space="preserve"> the acquisition of ownership, directly or indirectly, beneficially or of record, by any Person or group (within the meaning of the Securities Exchange Act of 1934 and the rules of the SEC thereunder as in effect on the date hereof) other than a Permitted </w:t>
      </w:r>
      <w:r>
        <w:rPr>
          <w:rFonts w:ascii="Times New Roman" w:hAnsi="Times New Roman"/>
          <w:strike/>
          <w:color w:val="FF0000"/>
          <w:sz w:val="20"/>
        </w:rPr>
        <w:t>Owner (as defined below)</w:t>
      </w:r>
      <w:r>
        <w:rPr>
          <w:rFonts w:ascii="Times New Roman" w:hAnsi="Times New Roman"/>
          <w:color w:val="0000FF"/>
          <w:sz w:val="20"/>
          <w:u w:val="single"/>
          <w:bdr w:val="double" w:sz="2" w:space="1" w:color="000000"/>
        </w:rPr>
        <w:t>Holder</w:t>
      </w:r>
      <w:r>
        <w:rPr>
          <w:rFonts w:ascii="Times New Roman" w:hAnsi="Times New Roman"/>
          <w:sz w:val="20"/>
        </w:rPr>
        <w:t>, of Equity Interests representing more than 30% of the aggregate ordinary voting power represented by the issued and outstanding Equity Interests of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color w:val="0000FF"/>
          <w:sz w:val="20"/>
          <w:u w:val="single"/>
          <w:bdr w:val="double" w:sz="2" w:space="1" w:color="000000"/>
        </w:rPr>
        <w:t>ii</w:t>
      </w:r>
      <w:r>
        <w:rPr>
          <w:rFonts w:ascii="Times New Roman" w:hAnsi="Times New Roman"/>
          <w:sz w:val="20"/>
        </w:rPr>
        <w:t xml:space="preserve">) occupation at any time of a majority of the seats (other than vacant seats) on the board of directors of the Company by Persons who were not (i) directors of the Company on the </w:t>
      </w:r>
      <w:r>
        <w:rPr>
          <w:rFonts w:ascii="Times New Roman" w:hAnsi="Times New Roman"/>
          <w:strike/>
          <w:color w:val="FF0000"/>
          <w:sz w:val="20"/>
        </w:rPr>
        <w:t>date of this Agreement</w:t>
      </w:r>
      <w:r>
        <w:rPr>
          <w:rFonts w:ascii="Times New Roman" w:hAnsi="Times New Roman"/>
          <w:color w:val="0000FF"/>
          <w:sz w:val="20"/>
          <w:u w:val="single"/>
          <w:bdr w:val="double" w:sz="2" w:space="1" w:color="000000"/>
        </w:rPr>
        <w:t>First Amendment Date</w:t>
      </w:r>
      <w:r>
        <w:rPr>
          <w:rFonts w:ascii="Times New Roman" w:hAnsi="Times New Roman"/>
          <w:sz w:val="20"/>
        </w:rPr>
        <w:t xml:space="preserve"> or nominated or appointed by the board of directors of the Company or (ii) appointed by directors so nominated or appointed; </w:t>
      </w:r>
      <w:r>
        <w:rPr>
          <w:rFonts w:ascii="Times New Roman" w:hAnsi="Times New Roman"/>
          <w:strike/>
          <w:color w:val="FF0000"/>
          <w:sz w:val="20"/>
        </w:rPr>
        <w:t xml:space="preserve">or (c)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(b) on and following the consummation of the Take-Private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w:t>
            </w:r>
          </w:p>
        </w:tc>
        <w:tc>
          <w:tcPr>
            <w:tcW w:w="8879"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at any time prior to the consummation of a Qualifying IPO, (x) the Permitted Holders either individually or collectively, ceasing to beneficially own (as defined in Rules 13d-3 and 13d-5 under the Exchange Act), in the aggregate, directly or indirectly, at least a majority of the aggregate ordinary voting power represented by the issued and outstanding Equity Interests of HoldCo or (y) occupation at any time of a majority of the seats (other than vacant seats) on the board of directors of HoldCo by Persons who were not (A) directors of HoldCo on the First Amendment Date or nominated or appointed by the board of directors of HoldCo, (B) nominated or appointed to the board of directors of HoldCo pursuant to a shareholder vote of HoldCo (provided that, at the time of such shareholder vote, the Permitted Holders either individually or collectively, beneficially own (as defined in Rules 13d-3 and 13d-5 under the Exchange Act), in the aggregate, directly or indirectly, at least a majority of the aggregate ordinary voting power represented by the issued and outstanding Equity Interests of HoldCo) or (C) appointed by directors so nominated or appointed pursuant to either of the foregoing clauses (A) or (B),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at any time following the consummation of a Qualifying IPO, (i) any Person (other than the Permitted Holders) or Persons (other than the Permitted Holders) constituting a “group” (as such term is used in Sections 13(d) and 14(d) of the Exchange Act), becoming the “beneficial owner” (as defined in Rules 13(d)-3 and 13(d)-5 under the Exchange Act) (excluding any employee benefit plan of such Person and its subsidiaries, and any Person acting in its capacity as trustee, agent or other fiduciary or administrator of any such plan), directly or indirectly, of Equity Interests of HoldCo representing more than thirty percent (30%) of </w:t>
            </w:r>
            <w:r>
              <w:rPr>
                <w:rFonts w:ascii="Times New Roman" w:hAnsi="Times New Roman"/>
                <w:color w:val="008000"/>
                <w:sz w:val="20"/>
                <w:u w:val="single"/>
                <w:bdr w:val="double" w:sz="2" w:space="1" w:color="000000"/>
              </w:rPr>
              <w:t xml:space="preserve">the aggregate ordinary voting power represented by the issued and outstanding Equity Interests of </w:t>
            </w:r>
            <w:r>
              <w:rPr>
                <w:rFonts w:ascii="Times New Roman" w:hAnsi="Times New Roman"/>
                <w:color w:val="0000FF"/>
                <w:sz w:val="20"/>
                <w:u w:val="single"/>
                <w:bdr w:val="double" w:sz="2" w:space="1" w:color="000000"/>
              </w:rPr>
              <w:t xml:space="preserve">HoldCo and the percentage of aggregate ordinary voting power so held is greater than the percentage of the aggregate ordinary voting power represented by the Equity Interests of HoldCo beneficially owned, directly or indirectly, in the aggregate by the Permitted Holders (it being understood and agreed that for purposes of measuring beneficial ownership held by any Person that is not a Permitted Holder, Equity Interests held by the Permitted Holders will be excluded), or (ii) occupation at any time of a majority of the seats (other than vacant seats) on the board of directors of HoldCo by Persons who were not (A) directors of HoldCo on the date of consummation of the Take-Private Transaction or nominated or appointed by the board of directors of HoldCo or (B) appointed by directors so nominated or appointed; or </w:t>
            </w:r>
          </w:p>
        </w:tc>
      </w:tr>
    </w:tbl>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cease to </w:t>
            </w:r>
            <w:r>
              <w:rPr>
                <w:rFonts w:ascii="Times New Roman" w:hAnsi="Times New Roman"/>
                <w:color w:val="0000FF"/>
                <w:sz w:val="20"/>
                <w:u w:val="single"/>
                <w:bdr w:val="double" w:sz="2" w:space="1" w:color="000000"/>
              </w:rPr>
              <w:t xml:space="preserve">directly or indirectly </w:t>
            </w:r>
            <w:r>
              <w:rPr>
                <w:rFonts w:ascii="Times New Roman" w:hAnsi="Times New Roman"/>
                <w:sz w:val="20"/>
              </w:rPr>
              <w:t xml:space="preserve">own, free and clear of all Liens (other than Permitted Encumbrances and Liens securing the Secured Obligations) or other encumbrances, </w:t>
            </w:r>
            <w:r>
              <w:rPr>
                <w:rFonts w:ascii="Times New Roman" w:hAnsi="Times New Roman"/>
                <w:strike/>
                <w:color w:val="FF0000"/>
                <w:sz w:val="20"/>
              </w:rPr>
              <w:t xml:space="preserve">at least </w:t>
            </w:r>
            <w:r>
              <w:rPr>
                <w:rFonts w:ascii="Times New Roman" w:hAnsi="Times New Roman"/>
                <w:sz w:val="20"/>
              </w:rPr>
              <w:t xml:space="preserve">100% of the outstanding </w:t>
            </w:r>
            <w:r>
              <w:rPr>
                <w:rFonts w:ascii="Times New Roman" w:hAnsi="Times New Roman"/>
                <w:color w:val="0000FF"/>
                <w:sz w:val="20"/>
                <w:u w:val="single"/>
                <w:bdr w:val="double" w:sz="2" w:space="1" w:color="000000"/>
              </w:rPr>
              <w:t xml:space="preserve">economic and </w:t>
            </w:r>
            <w:r>
              <w:rPr>
                <w:rFonts w:ascii="Times New Roman" w:hAnsi="Times New Roman"/>
                <w:sz w:val="20"/>
              </w:rPr>
              <w:t>voting Equity Interests of the other Borrowers on a fully diluted basis</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 or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on and following the consummation of the Take-Private Transaction, HoldCo shall cease to directly own, free and clear of all Liens (other than Permitted Encumbrances and Liens securing the Secured Obligations) or other encumbrances, 100% of the outstanding economic and voting Equity Interests of the Company on a fully diluted basis;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nothing in this definition shall be interpreted as permitting any transactions not otherwise permitted under this Agreement</w:t>
      </w:r>
      <w:r>
        <w:rPr>
          <w:rFonts w:ascii="Times New Roman" w:hAnsi="Times New Roman"/>
          <w:strike/>
          <w:color w:val="FF0000"/>
          <w:sz w:val="20"/>
        </w:rPr>
        <w:t xml:space="preserve">. For purposes of this definition, “Permitted Owner” means any Person that owns (whether directly or through any of its Affiliates), as of the Effective Date, Equity Interests representing more than 30% of </w:t>
      </w:r>
      <w:r>
        <w:rPr>
          <w:rFonts w:ascii="Times New Roman" w:hAnsi="Times New Roman"/>
          <w:strike/>
          <w:color w:val="008000"/>
          <w:sz w:val="20"/>
        </w:rPr>
        <w:t xml:space="preserve">the aggregate ordinary voting power represented by the issued and outstanding Equity Interests of </w:t>
      </w:r>
      <w:r>
        <w:rPr>
          <w:rFonts w:ascii="Times New Roman" w:hAnsi="Times New Roman"/>
          <w:strike/>
          <w:color w:val="FF0000"/>
          <w:sz w:val="20"/>
        </w:rPr>
        <w:t>the Company.</w:t>
      </w:r>
      <w:r>
        <w:rPr>
          <w:rFonts w:ascii="Times New Roman" w:hAnsi="Times New Roman"/>
          <w:color w:val="0000FF"/>
          <w:sz w:val="20"/>
          <w:u w:val="single"/>
          <w:bdr w:val="double" w:sz="2" w:space="1" w:color="000000"/>
        </w:rPr>
        <w:t>; provided further that, for the avoidance of doubt, the consummation of the Take-Private Transaction shall not constitute a Change in Control.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rule,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 </w:t>
      </w:r>
    </w:p>
    <w:p>
      <w:pPr>
        <w:pStyle w:val="TextBody"/>
        <w:bidi w:val="0"/>
        <w:spacing w:before="240" w:after="0"/>
        <w:jc w:val="left"/>
        <w:rPr/>
      </w:pPr>
      <w:r>
        <w:rPr/>
        <w:t>“</w:t>
      </w:r>
      <w:r>
        <w:rPr>
          <w:rFonts w:ascii="Times New Roman" w:hAnsi="Times New Roman"/>
          <w:sz w:val="20"/>
          <w:u w:val="single"/>
        </w:rPr>
        <w:t>Charges</w:t>
      </w:r>
      <w:r>
        <w:rPr>
          <w:rFonts w:ascii="Times New Roman" w:hAnsi="Times New Roman"/>
          <w:sz w:val="20"/>
        </w:rPr>
        <w:t xml:space="preserve">” has the meaning assigned to such term in Section 9.17.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 any Loan or Borrowing, refers to whether such Loan, or the Loans comprising such Borrowing, are Revolving Loans, Initial </w:t>
      </w:r>
      <w:r>
        <w:rPr>
          <w:rFonts w:ascii="Times New Roman" w:hAnsi="Times New Roman"/>
          <w:color w:val="0000FF"/>
          <w:sz w:val="20"/>
          <w:u w:val="single"/>
          <w:bdr w:val="double" w:sz="2" w:space="1" w:color="000000"/>
        </w:rPr>
        <w:t xml:space="preserve">Term Loans, Incremental </w:t>
      </w:r>
      <w:r>
        <w:rPr>
          <w:rFonts w:ascii="Times New Roman" w:hAnsi="Times New Roman"/>
          <w:sz w:val="20"/>
        </w:rPr>
        <w:t>Term Loans or Swingline Loans, (b) any Commitment, refers to whether such Commitment is a Revolving Commitment, an Initial Term Loan Commitment or a commitment to provide any other class of loans contemplated by Section 2.09 and (c) any Lender, refers to whether such Lender is a Revolving Lender</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an Initial Term Lender</w:t>
      </w:r>
      <w:r>
        <w:rPr>
          <w:rFonts w:ascii="Times New Roman" w:hAnsi="Times New Roman"/>
          <w:color w:val="0000FF"/>
          <w:sz w:val="20"/>
          <w:u w:val="single"/>
          <w:bdr w:val="double" w:sz="2" w:space="1" w:color="000000"/>
        </w:rPr>
        <w:t xml:space="preserve"> or a Lender of Incremental Term Loans</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rPr>
        <w:t xml:space="preserve">Closing Date </w:t>
      </w:r>
      <w:r>
        <w:rPr>
          <w:rFonts w:ascii="Times New Roman" w:hAnsi="Times New Roman"/>
          <w:strike/>
          <w:color w:val="008000"/>
          <w:sz w:val="20"/>
        </w:rPr>
        <w:t xml:space="preserve">Transaction Expenses” means the fees, premiums, expenses and other transaction costs incurred by the Company and its Restricted Subsidiaries in connection with the </w:t>
      </w:r>
      <w:r>
        <w:rPr>
          <w:rFonts w:ascii="Times New Roman" w:hAnsi="Times New Roman"/>
          <w:strike/>
          <w:color w:val="FF0000"/>
          <w:sz w:val="20"/>
        </w:rPr>
        <w:t>Transactions to occur on the Effective Date</w:t>
      </w:r>
      <w:r>
        <w:rPr>
          <w:rFonts w:ascii="Times New Roman" w:hAnsi="Times New Roman"/>
          <w:strike/>
          <w:color w:val="008000"/>
          <w:sz w:val="20"/>
        </w:rPr>
        <w:t xml:space="preserve">, including, without limitation, to fund </w:t>
      </w:r>
      <w:r>
        <w:rPr>
          <w:rFonts w:ascii="Times New Roman" w:hAnsi="Times New Roman"/>
          <w:strike/>
          <w:color w:val="FF0000"/>
          <w:sz w:val="20"/>
        </w:rPr>
        <w:t>any original issue discount and upfront fees required to be funded on the Effective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CME Term SOFR Administrator</w:t>
      </w:r>
      <w:r>
        <w:rPr>
          <w:rFonts w:ascii="Times New Roman" w:hAnsi="Times New Roman"/>
          <w:sz w:val="20"/>
        </w:rPr>
        <w:t xml:space="preserve">” means CME Group Benchmark Administration Limited as administrator of the forward-looking term SOFR (or a successor administrator).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 </w:t>
      </w:r>
    </w:p>
    <w:p>
      <w:pPr>
        <w:pStyle w:val="TextBody"/>
        <w:bidi w:val="0"/>
        <w:spacing w:before="240" w:after="0"/>
        <w:jc w:val="left"/>
        <w:rPr/>
      </w:pPr>
      <w:r>
        <w:rPr/>
        <w:t>“</w:t>
      </w:r>
      <w:r>
        <w:rPr>
          <w:rFonts w:ascii="Times New Roman" w:hAnsi="Times New Roman"/>
          <w:sz w:val="20"/>
          <w:u w:val="single"/>
        </w:rPr>
        <w:t>Collateral Access Agreements</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collectively, the Security Agreements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and financing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Combined Cap” has the meaning assigned to such term in the definition of the term “EBITDA”.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each Lender, the sum of such Lender’s Revolving Commitment and Term Loan Commitments. </w:t>
      </w:r>
    </w:p>
    <w:p>
      <w:pPr>
        <w:pStyle w:val="TextBody"/>
        <w:bidi w:val="0"/>
        <w:spacing w:before="240" w:after="0"/>
        <w:jc w:val="left"/>
        <w:rPr/>
      </w:pPr>
      <w:r>
        <w:rPr/>
        <w:t>“</w:t>
      </w:r>
      <w:r>
        <w:rPr>
          <w:rFonts w:ascii="Times New Roman" w:hAnsi="Times New Roman"/>
          <w:sz w:val="20"/>
          <w:u w:val="single"/>
        </w:rPr>
        <w:t>Commitment Schedule</w:t>
      </w:r>
      <w:r>
        <w:rPr>
          <w:rFonts w:ascii="Times New Roman" w:hAnsi="Times New Roman"/>
          <w:sz w:val="20"/>
        </w:rPr>
        <w:t xml:space="preserve">” means the Schedule attached hereto identified as such.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has the meaning assigned to such term in Section 8.03(c).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Competitor</w:t>
      </w:r>
      <w:r>
        <w:rPr>
          <w:rFonts w:ascii="Times New Roman" w:hAnsi="Times New Roman"/>
          <w:sz w:val="20"/>
        </w:rPr>
        <w:t xml:space="preserve">” means any Person that is an operating company primarily engaged in substantially similar business operations as a Borrower or other Loan Party.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of a Financial Officer of the Borrower Representative in substantially the form of </w:t>
      </w:r>
      <w:r>
        <w:rPr>
          <w:rFonts w:ascii="Times New Roman" w:hAnsi="Times New Roman"/>
          <w:sz w:val="20"/>
          <w:u w:val="single"/>
        </w:rPr>
        <w:t>Exhibit D</w:t>
      </w:r>
      <w:r>
        <w:rPr>
          <w:rFonts w:ascii="Times New Roman" w:hAnsi="Times New Roman"/>
          <w:sz w:val="20"/>
        </w:rPr>
        <w:t xml:space="preserve"> or any other form approved by the Administrative Agent. </w:t>
      </w:r>
    </w:p>
    <w:p>
      <w:pPr>
        <w:pStyle w:val="TextBody"/>
        <w:bidi w:val="0"/>
        <w:spacing w:before="24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Consolidated Interest Expense</w:t>
      </w:r>
      <w:r>
        <w:rPr>
          <w:rFonts w:ascii="Times New Roman" w:hAnsi="Times New Roman"/>
          <w:sz w:val="20"/>
        </w:rPr>
        <w:t xml:space="preserve">” means, for any period, total interest expense (including that attributable to Capital Lease Obligations)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for such period with respect to all outstanding Indebtedness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for such period in accordance with GAAP. </w:t>
      </w:r>
    </w:p>
    <w:p>
      <w:pPr>
        <w:pStyle w:val="TextBody"/>
        <w:bidi w:val="0"/>
        <w:spacing w:before="240" w:after="0"/>
        <w:jc w:val="left"/>
        <w:rPr/>
      </w:pPr>
      <w:r>
        <w:rPr/>
        <w:t>“</w:t>
      </w:r>
      <w:r>
        <w:rPr>
          <w:rFonts w:ascii="Times New Roman" w:hAnsi="Times New Roman"/>
          <w:sz w:val="20"/>
          <w:u w:val="single"/>
        </w:rPr>
        <w:t>Consolidated Total Assets</w:t>
      </w:r>
      <w:r>
        <w:rPr>
          <w:rFonts w:ascii="Times New Roman" w:hAnsi="Times New Roman"/>
          <w:sz w:val="20"/>
        </w:rPr>
        <w:t xml:space="preserve">” means, as of any date of determination, the aggregate book value of the consolidated total assets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as reflected in the most recent financial statements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delivered pursuant to Section 5.01 (or, if prior to the date of the delivery of the first financial statements to be delivered pursuant to Section 5.01(a) or (b), the most recent financial statements referred to in Section 3.04(a)).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CORRA</w:t>
      </w:r>
      <w:r>
        <w:rPr>
          <w:rFonts w:ascii="Times New Roman" w:hAnsi="Times New Roman"/>
          <w:sz w:val="20"/>
        </w:rPr>
        <w:t xml:space="preserve">” means the Canadian Overnight Repo Rate Average administered and published by the Bank of Canada (or any successor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CORRA Administrator</w:t>
      </w:r>
      <w:r>
        <w:rPr>
          <w:rFonts w:ascii="Times New Roman" w:hAnsi="Times New Roman"/>
          <w:sz w:val="20"/>
        </w:rPr>
        <w:t xml:space="preserve">” means the Bank of Canada (or any successor administrator). </w:t>
      </w:r>
    </w:p>
    <w:p>
      <w:pPr>
        <w:pStyle w:val="TextBody"/>
        <w:bidi w:val="0"/>
        <w:spacing w:before="240" w:after="0"/>
        <w:jc w:val="left"/>
        <w:rPr/>
      </w:pPr>
      <w:r>
        <w:rPr/>
        <w:t>“</w:t>
      </w:r>
      <w:r>
        <w:rPr>
          <w:rFonts w:ascii="Times New Roman" w:hAnsi="Times New Roman"/>
          <w:sz w:val="20"/>
          <w:u w:val="single"/>
        </w:rPr>
        <w:t>CORRA Determination Date</w:t>
      </w:r>
      <w:r>
        <w:rPr>
          <w:rFonts w:ascii="Times New Roman" w:hAnsi="Times New Roman"/>
          <w:sz w:val="20"/>
        </w:rPr>
        <w:t>” has the meaning specified in the definition of “</w:t>
      </w:r>
      <w:r>
        <w:rPr>
          <w:rFonts w:ascii="Times New Roman" w:hAnsi="Times New Roman"/>
          <w:sz w:val="20"/>
          <w:u w:val="single"/>
        </w:rPr>
        <w:t>Daily Simple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CORRA Rate Day</w:t>
      </w:r>
      <w:r>
        <w:rPr>
          <w:rFonts w:ascii="Times New Roman" w:hAnsi="Times New Roman"/>
          <w:sz w:val="20"/>
        </w:rPr>
        <w:t>” has the meaning specified in the definition of “</w:t>
      </w:r>
      <w:r>
        <w:rPr>
          <w:rFonts w:ascii="Times New Roman" w:hAnsi="Times New Roman"/>
          <w:sz w:val="20"/>
          <w:u w:val="single"/>
        </w:rPr>
        <w:t>Daily Simple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Coupon Step-Up” has the meaning assigned to it in the definition of “Applicable Rate”.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Covenant Ratchet Date” means the last day of the fiscal quarter of the Company (or, after the consummation of the Take-Private Transaction, HoldCo) in which the High Yield Notes are Fully Funded and the Take-Private Mandatory Prepayment Requirements have been fully satisfied.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Co-Syndication Agent</w:t>
      </w:r>
      <w:r>
        <w:rPr>
          <w:rFonts w:ascii="Times New Roman" w:hAnsi="Times New Roman"/>
          <w:sz w:val="20"/>
        </w:rPr>
        <w:t xml:space="preserve">” means each of each of JPMorgan, BofA Securities, Inc. (together with its Affiliates), Wells Fargo Securities, LLC, U.S. Bank National Association, TD Bank, N.A., Capital One, National Association, Regions Bank Capital Markets, a Division of Regions Bank, and CIBC Bank USA, in its capacity as co-syndication agent hereunder. </w:t>
      </w:r>
    </w:p>
    <w:p>
      <w:pPr>
        <w:pStyle w:val="TextBody"/>
        <w:bidi w:val="0"/>
        <w:spacing w:before="240" w:after="0"/>
        <w:jc w:val="left"/>
        <w:rPr/>
      </w:pPr>
      <w:r>
        <w:rPr/>
        <w:t>“</w:t>
      </w:r>
      <w:r>
        <w:rPr>
          <w:rFonts w:ascii="Times New Roman" w:hAnsi="Times New Roman"/>
          <w:sz w:val="20"/>
          <w:u w:val="single"/>
        </w:rPr>
        <w:t>Credit Exposure</w:t>
      </w:r>
      <w:r>
        <w:rPr>
          <w:rFonts w:ascii="Times New Roman" w:hAnsi="Times New Roman"/>
          <w:sz w:val="20"/>
        </w:rPr>
        <w:t xml:space="preserve">” means, as to any Lender at any time, the sum of (a) such Lender’s Revolving Exposure at such time </w:t>
      </w:r>
      <w:r>
        <w:rPr>
          <w:rFonts w:ascii="Times New Roman" w:hAnsi="Times New Roman"/>
          <w:sz w:val="20"/>
          <w:u w:val="single"/>
        </w:rPr>
        <w:t>plus</w:t>
      </w:r>
      <w:r>
        <w:rPr>
          <w:rFonts w:ascii="Times New Roman" w:hAnsi="Times New Roman"/>
          <w:sz w:val="20"/>
        </w:rPr>
        <w:t xml:space="preserve"> (b) an amount equal to the aggregate principal amount of its Term Loans outstanding at such time. </w:t>
      </w:r>
    </w:p>
    <w:p>
      <w:pPr>
        <w:pStyle w:val="TextBody"/>
        <w:bidi w:val="0"/>
        <w:spacing w:before="240" w:after="0"/>
        <w:jc w:val="left"/>
        <w:rPr/>
      </w:pPr>
      <w:r>
        <w:rPr/>
        <w:t>“</w:t>
      </w:r>
      <w:r>
        <w:rPr>
          <w:rFonts w:ascii="Times New Roman" w:hAnsi="Times New Roman"/>
          <w:sz w:val="20"/>
          <w:u w:val="single"/>
        </w:rPr>
        <w:t>Credit Party</w:t>
      </w:r>
      <w:r>
        <w:rPr>
          <w:rFonts w:ascii="Times New Roman" w:hAnsi="Times New Roman"/>
          <w:sz w:val="20"/>
        </w:rPr>
        <w:t xml:space="preserve">” means the Administrative Agent, the Issuing Bank, the Swingline Lender or any other Lender. </w:t>
      </w:r>
    </w:p>
    <w:p>
      <w:pPr>
        <w:pStyle w:val="TextBody"/>
        <w:bidi w:val="0"/>
        <w:spacing w:before="240" w:after="0"/>
        <w:jc w:val="left"/>
        <w:rPr/>
      </w:pPr>
      <w:r>
        <w:rPr/>
        <w:t>“</w:t>
      </w:r>
      <w:r>
        <w:rPr>
          <w:rFonts w:ascii="Times New Roman" w:hAnsi="Times New Roman"/>
          <w:sz w:val="20"/>
          <w:u w:val="single"/>
        </w:rPr>
        <w:t>Cure Expiration Date</w:t>
      </w:r>
      <w:r>
        <w:rPr>
          <w:rFonts w:ascii="Times New Roman" w:hAnsi="Times New Roman"/>
          <w:sz w:val="20"/>
        </w:rPr>
        <w:t xml:space="preserve">” has the meaning assigned to such term in Section 7.03. </w:t>
      </w:r>
    </w:p>
    <w:p>
      <w:pPr>
        <w:pStyle w:val="TextBody"/>
        <w:bidi w:val="0"/>
        <w:spacing w:before="240" w:after="0"/>
        <w:jc w:val="left"/>
        <w:rPr/>
      </w:pPr>
      <w:r>
        <w:rPr/>
        <w:t>“</w:t>
      </w:r>
      <w:r>
        <w:rPr>
          <w:rFonts w:ascii="Times New Roman" w:hAnsi="Times New Roman"/>
          <w:sz w:val="20"/>
          <w:u w:val="single"/>
        </w:rPr>
        <w:t>Cure Right</w:t>
      </w:r>
      <w:r>
        <w:rPr>
          <w:rFonts w:ascii="Times New Roman" w:hAnsi="Times New Roman"/>
          <w:sz w:val="20"/>
        </w:rPr>
        <w:t xml:space="preserve">” has the meaning assigned to such term in Section 7.03. </w:t>
      </w:r>
    </w:p>
    <w:p>
      <w:pPr>
        <w:pStyle w:val="TextBody"/>
        <w:bidi w:val="0"/>
        <w:spacing w:before="240" w:after="0"/>
        <w:jc w:val="left"/>
        <w:rPr/>
      </w:pPr>
      <w:r>
        <w:rPr/>
        <w:t>“</w:t>
      </w:r>
      <w:r>
        <w:rPr>
          <w:rFonts w:ascii="Times New Roman" w:hAnsi="Times New Roman"/>
          <w:sz w:val="20"/>
          <w:u w:val="single"/>
        </w:rPr>
        <w:t>Daily Simple CORRA</w:t>
      </w:r>
      <w:r>
        <w:rPr>
          <w:rFonts w:ascii="Times New Roman" w:hAnsi="Times New Roman"/>
          <w:sz w:val="20"/>
        </w:rPr>
        <w:t>” means, for any day (a “</w:t>
      </w:r>
      <w:r>
        <w:rPr>
          <w:rFonts w:ascii="Times New Roman" w:hAnsi="Times New Roman"/>
          <w:sz w:val="20"/>
          <w:u w:val="single"/>
        </w:rPr>
        <w:t>CORRA Rate Day</w:t>
      </w:r>
      <w:r>
        <w:rPr>
          <w:rFonts w:ascii="Times New Roman" w:hAnsi="Times New Roman"/>
          <w:sz w:val="20"/>
        </w:rPr>
        <w:t>”), a rate per annum equal to CORRA for the day (such day a “</w:t>
      </w:r>
      <w:r>
        <w:rPr>
          <w:rFonts w:ascii="Times New Roman" w:hAnsi="Times New Roman"/>
          <w:sz w:val="20"/>
          <w:u w:val="single"/>
        </w:rPr>
        <w:t>CORRA Determination Date</w:t>
      </w:r>
      <w:r>
        <w:rPr>
          <w:rFonts w:ascii="Times New Roman" w:hAnsi="Times New Roman"/>
          <w:sz w:val="20"/>
        </w:rPr>
        <w:t xml:space="preserve">”) that is five (5) Business Days prior to (i) if such CORRA Rate Day is a Business Day, such CORRA Rate Day or (ii) if such CORRA Rate Day is not a Business Day, the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Borrowers.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Business Day for which such CORRA was published on the CORRA Administrator’s website, so long as the first preceding Business Day is not more than five (5) Business Days prior to such CORRA Determination Date.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xml:space="preserve">”),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Debt Fund Affiliate</w:t>
      </w:r>
      <w:r>
        <w:rPr>
          <w:rFonts w:ascii="Times New Roman" w:hAnsi="Times New Roman"/>
          <w:sz w:val="20"/>
        </w:rPr>
        <w:t xml:space="preserve">” means any Affiliate of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that is a Bona Fide Debt Fund that is engaged in the making, purchasing, holding or otherwise investing in commercial loans, bonds and similar extensions of credit or securities in the ordinary course and with respect to which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and investment vehicles managed or advised by </w:t>
      </w:r>
      <w:r>
        <w:rPr>
          <w:rFonts w:ascii="Times New Roman" w:hAnsi="Times New Roman"/>
          <w:strike/>
          <w:color w:val="FF0000"/>
          <w:sz w:val="20"/>
        </w:rPr>
        <w:t>LKCM Headwater Investments III, L.P.</w:t>
      </w:r>
      <w:r>
        <w:rPr>
          <w:rFonts w:ascii="Times New Roman" w:hAnsi="Times New Roman"/>
          <w:color w:val="0000FF"/>
          <w:sz w:val="20"/>
          <w:u w:val="single"/>
          <w:bdr w:val="double" w:sz="2" w:space="1" w:color="000000"/>
        </w:rPr>
        <w:t>Sponsor</w:t>
      </w:r>
      <w:r>
        <w:rPr>
          <w:rFonts w:ascii="Times New Roman" w:hAnsi="Times New Roman"/>
          <w:sz w:val="20"/>
        </w:rPr>
        <w:t xml:space="preserve"> that are not so engaged in the ordinary course do not make investment decisions and do not have access to any information (other than information publicly available) relating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entity that forms a part of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business (including Subsidiaries of the Company</w:t>
      </w:r>
      <w:r>
        <w:rPr>
          <w:rFonts w:ascii="Times New Roman" w:hAnsi="Times New Roman"/>
          <w:color w:val="0000FF"/>
          <w:sz w:val="20"/>
          <w:u w:val="single"/>
          <w:bdr w:val="double" w:sz="2" w:space="1" w:color="000000"/>
        </w:rPr>
        <w:t>(or, after the consummation of the Take-Private Transaction, HoldCo)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which constitutes an Event of Default or which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 </w:t>
      </w:r>
    </w:p>
    <w:p>
      <w:pPr>
        <w:pStyle w:val="TextBody"/>
        <w:bidi w:val="0"/>
        <w:spacing w:before="240" w:after="0"/>
        <w:jc w:val="left"/>
        <w:rPr/>
      </w:pPr>
      <w:r>
        <w:rPr/>
        <w:t>“</w:t>
      </w:r>
      <w:r>
        <w:rPr>
          <w:rFonts w:ascii="Times New Roman" w:hAnsi="Times New Roman"/>
          <w:sz w:val="20"/>
          <w:u w:val="single"/>
        </w:rPr>
        <w:t>Deposit Account</w:t>
      </w:r>
      <w:r>
        <w:rPr>
          <w:rFonts w:ascii="Times New Roman" w:hAnsi="Times New Roman"/>
          <w:sz w:val="20"/>
        </w:rPr>
        <w:t xml:space="preserve">” shall have the meaning set forth in Article 9 of the UCC. </w:t>
      </w:r>
    </w:p>
    <w:p>
      <w:pPr>
        <w:pStyle w:val="TextBody"/>
        <w:bidi w:val="0"/>
        <w:spacing w:before="240" w:after="0"/>
        <w:jc w:val="left"/>
        <w:rPr/>
      </w:pPr>
      <w:r>
        <w:rPr/>
        <w:t>“</w:t>
      </w:r>
      <w:r>
        <w:rPr>
          <w:rFonts w:ascii="Times New Roman" w:hAnsi="Times New Roman"/>
          <w:sz w:val="20"/>
          <w:u w:val="single"/>
        </w:rPr>
        <w:t>Deposit Account Control Agreement</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Designated Obligations</w:t>
      </w:r>
      <w:r>
        <w:rPr>
          <w:rFonts w:ascii="Times New Roman" w:hAnsi="Times New Roman"/>
          <w:sz w:val="20"/>
        </w:rPr>
        <w:t xml:space="preserve">” means all obligations of the Borrowers with respect to (a) principal of and interest on the Revolving Loans and (b) all commitment fees. </w:t>
      </w:r>
    </w:p>
    <w:p>
      <w:pPr>
        <w:pStyle w:val="TextBody"/>
        <w:bidi w:val="0"/>
        <w:spacing w:before="240" w:after="0"/>
        <w:jc w:val="left"/>
        <w:rPr/>
      </w:pPr>
      <w:r>
        <w:rPr/>
        <w:t>“</w:t>
      </w:r>
      <w:r>
        <w:rPr>
          <w:rFonts w:ascii="Times New Roman" w:hAnsi="Times New Roman"/>
          <w:sz w:val="20"/>
          <w:u w:val="single"/>
        </w:rPr>
        <w:t>Disclosed Matters</w:t>
      </w:r>
      <w:r>
        <w:rPr>
          <w:rFonts w:ascii="Times New Roman" w:hAnsi="Times New Roman"/>
          <w:sz w:val="20"/>
        </w:rPr>
        <w:t xml:space="preserve">” means the actions, suits, proceedings and environmental matters disclosed in </w:t>
      </w:r>
      <w:r>
        <w:rPr>
          <w:rFonts w:ascii="Times New Roman" w:hAnsi="Times New Roman"/>
          <w:sz w:val="20"/>
          <w:u w:val="single"/>
        </w:rPr>
        <w:t>Schedule 3.06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Disposed EBITDA</w:t>
      </w:r>
      <w:r>
        <w:rPr>
          <w:rFonts w:ascii="Times New Roman" w:hAnsi="Times New Roman"/>
          <w:sz w:val="20"/>
        </w:rPr>
        <w:t xml:space="preserve">” means, with respect to any Disposed Entity or Business for any period, the amount for such period of EBITDA of such Disposed Entity or Business, all as determined on a consolidated basis for such Disposed Entity or Business and as if references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 the definition of “EBITDA” (and in the component definitions used therein) were references to such Disposed Entity or Business and its subsidiaries. </w:t>
      </w:r>
    </w:p>
    <w:p>
      <w:pPr>
        <w:pStyle w:val="TextBody"/>
        <w:bidi w:val="0"/>
        <w:spacing w:before="240" w:after="0"/>
        <w:jc w:val="left"/>
        <w:rPr/>
      </w:pPr>
      <w:r>
        <w:rPr/>
        <w:t>“</w:t>
      </w:r>
      <w:r>
        <w:rPr>
          <w:rFonts w:ascii="Times New Roman" w:hAnsi="Times New Roman"/>
          <w:sz w:val="20"/>
          <w:u w:val="single"/>
        </w:rPr>
        <w:t>Disposed Entity or Business</w:t>
      </w:r>
      <w:r>
        <w:rPr>
          <w:rFonts w:ascii="Times New Roman" w:hAnsi="Times New Roman"/>
          <w:sz w:val="20"/>
        </w:rPr>
        <w:t xml:space="preserve">” has the meaning provided in the definition of “EBITDA”. </w:t>
      </w:r>
    </w:p>
    <w:p>
      <w:pPr>
        <w:pStyle w:val="TextBody"/>
        <w:bidi w:val="0"/>
        <w:spacing w:before="240" w:after="0"/>
        <w:jc w:val="left"/>
        <w:rPr/>
      </w:pPr>
      <w:r>
        <w:rPr/>
        <w:t>“</w:t>
      </w:r>
      <w:r>
        <w:rPr>
          <w:rFonts w:ascii="Times New Roman" w:hAnsi="Times New Roman"/>
          <w:sz w:val="20"/>
          <w:u w:val="single"/>
        </w:rPr>
        <w:t>Disposition” or “Dispose</w:t>
      </w:r>
      <w:r>
        <w:rPr>
          <w:rFonts w:ascii="Times New Roman" w:hAnsi="Times New Roman"/>
          <w:sz w:val="20"/>
        </w:rPr>
        <w:t xml:space="preserve">” means the sale, transfer, license, lease or other disposition (in one transaction or in a series of transactions and whether effected pursuant to a Division or otherwise) of any property by any Person (including any Sale and Leaseback Transaction), including any sale, assignment, transfer or other disposal, with or without recourse, of any notes or accounts receivable or any rights and claims associated therewith. </w:t>
      </w:r>
    </w:p>
    <w:p>
      <w:pPr>
        <w:pStyle w:val="TextBody"/>
        <w:bidi w:val="0"/>
        <w:spacing w:before="240" w:after="0"/>
        <w:jc w:val="left"/>
        <w:rPr/>
      </w:pPr>
      <w:r>
        <w:rPr/>
        <w:t>“</w:t>
      </w:r>
      <w:r>
        <w:rPr>
          <w:rFonts w:ascii="Times New Roman" w:hAnsi="Times New Roman"/>
          <w:sz w:val="20"/>
          <w:u w:val="single"/>
        </w:rPr>
        <w:t>Disqualified Institutions</w:t>
      </w:r>
      <w:r>
        <w:rPr>
          <w:rFonts w:ascii="Times New Roman" w:hAnsi="Times New Roman"/>
          <w:sz w:val="20"/>
        </w:rPr>
        <w:t xml:space="preserve">” means any Person that is (a) designated by the Borrower Representative, by written notice delivered to the Administrative Agent on or prior to the Effective Date, as a (i) disqualified institution or (ii) Competitor or (b) clearly identifiable, solely on the basis of such Person’s name, as an Affiliate of any Person referred to in clause (a)(i) or (a)(ii) above; </w:t>
      </w:r>
      <w:r>
        <w:rPr>
          <w:rFonts w:ascii="Times New Roman" w:hAnsi="Times New Roman"/>
          <w:sz w:val="20"/>
          <w:u w:val="single"/>
        </w:rPr>
        <w:t>provided</w:t>
      </w:r>
      <w:r>
        <w:rPr>
          <w:rFonts w:ascii="Times New Roman" w:hAnsi="Times New Roman"/>
          <w:sz w:val="20"/>
        </w:rPr>
        <w:t xml:space="preserve">, however, Disqualified Institutions shall (A) exclude any Person that the Borrower Representative has designated as no longer being a Disqualified Institution by written notice delivered to the Administrative Agent from time to time and (B) include (I) any Person that is added as a Competitor or added as an Affiliate of a Competitor and (II) any Person that is clearly identifiable, solely on the basis of such Person’s name, as an Affiliate of any Person referred to in clause (B)(I), pursuant to a written supplement to the list of Competitors that are Disqualified Institutions, that is delivered by the Borrower Representative after the date hereof to the Administrative Agent and the Lenders in accordance with Section 9.01. It is understood and agreed that (x) any such supplement shall become effective two (2) Business Days after the date that such written supplement is delivered to the Administrative Agent and the Lenders in accordance with Section 9.01, but which shall not apply retroactively to disqualify any Persons that have previously acquired an assignment or participation interest in the Loans and/or Commitments as permitted herein or to any pending assignment or participation, (y) the Borrower Representative’s failure to deliver such list (or supplement thereto) in accordance with Section 9.01 shall render such list (or supplement) not received and not effective and (z) “Disqualified Institution” shall exclude any Person that the Borrower Representative has designated as no longer being a “Disqualified Institution” by written notice delivered to the Administrative Agent from time to time in accordance with Section 9.01. In no event shall a Bona Fide Debt Fund be a Disqualified Institution unless such Bona Fide Debt Fund is identified under clause (a)(i) above. </w:t>
      </w:r>
    </w:p>
    <w:p>
      <w:pPr>
        <w:pStyle w:val="TextBody"/>
        <w:bidi w:val="0"/>
        <w:spacing w:before="240" w:after="0"/>
        <w:jc w:val="left"/>
        <w:rPr/>
      </w:pPr>
      <w:r>
        <w:rPr/>
        <w:t>“</w:t>
      </w:r>
      <w:r>
        <w:rPr>
          <w:rFonts w:ascii="Times New Roman" w:hAnsi="Times New Roman"/>
          <w:sz w:val="20"/>
          <w:u w:val="single"/>
        </w:rPr>
        <w:t>Disqualified Stock</w:t>
      </w:r>
      <w:r>
        <w:rPr>
          <w:rFonts w:ascii="Times New Roman" w:hAnsi="Times New Roman"/>
          <w:sz w:val="20"/>
        </w:rPr>
        <w:t xml:space="preserve">”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Stock), pursuant to a sinking fund obligation or otherwise (except as a result of a change of control, initial public offering or asset sale so long as any rights of the holders thereof upon the occurrence of a change of control, initial public offering or asset sale event shall be subject to the prior Payment in Full of the Loans and all other Obligations (other than unasserted contingent indemnification obligations that by their terms survive), (b) is redeemable at the option of the holder thereof (other than solely for Qualified Stock and other than as a result of a change of control, initial public offering or asset sale so long as any rights of the holders thereof upon the occurrence of a change of control, initial public offering or asset sale event shall be subject to the prior Payment in Full of the Loans and all other Obligations (other than unasserted contingent indemnification obligations that by their terms survive)), in whole or in part, or (c) is or becomes automatically or at the option of the holder convertible into or exchangeable for Indebtedness or any other Equity Interests that would constitute Disqualified Stock, in the case of each of clauses (a), (b) and (c), prior to the date that is ninety-one (91) days after the latest Maturity Date in effect at the time of issuance; </w:t>
      </w:r>
      <w:r>
        <w:rPr>
          <w:rFonts w:ascii="Times New Roman" w:hAnsi="Times New Roman"/>
          <w:sz w:val="20"/>
          <w:u w:val="single"/>
        </w:rPr>
        <w:t>provided</w:t>
      </w:r>
      <w:r>
        <w:rPr>
          <w:rFonts w:ascii="Times New Roman" w:hAnsi="Times New Roman"/>
          <w:sz w:val="20"/>
        </w:rPr>
        <w:t xml:space="preserve"> that if such Equity Interests are issued to any current or former employees, consultants,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officers or members of management or pursuant to a plan for the benefit of current or former employees, consultants, directors, officers or members of management of the Company (or</w:t>
      </w:r>
      <w:r>
        <w:rPr>
          <w:rFonts w:ascii="Times New Roman" w:hAnsi="Times New Roman"/>
          <w:color w:val="0000FF"/>
          <w:sz w:val="20"/>
          <w:u w:val="single"/>
          <w:bdr w:val="double" w:sz="2" w:space="1" w:color="000000"/>
        </w:rPr>
        <w:t>, after the consummation of the Take-Private Transaction, HoldCo) (or</w:t>
      </w:r>
      <w:r>
        <w:rPr>
          <w:rFonts w:ascii="Times New Roman" w:hAnsi="Times New Roman"/>
          <w:sz w:val="20"/>
        </w:rPr>
        <w:t xml:space="preserve"> any direct or indirect parent thereof) or its Restricted Subsidiaries or by any such plan to such current or former employees, consultants, directors, officers or members of management, such Equity Interests shall not constitute Disqualified Stock solely because they may be required to be repurchased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Restricted Subsidiaries in order to satisfy applicable statutory or regulatory obligations or as a result of such employees’, consultants’, directors’, officers’ or management members’ termination, death or disability. </w:t>
      </w:r>
    </w:p>
    <w:p>
      <w:pPr>
        <w:pStyle w:val="TextBody"/>
        <w:bidi w:val="0"/>
        <w:spacing w:before="240" w:after="0"/>
        <w:jc w:val="left"/>
        <w:rPr/>
      </w:pPr>
      <w:r>
        <w:rPr/>
        <w:t>“</w:t>
      </w:r>
      <w:r>
        <w:rPr>
          <w:rFonts w:ascii="Times New Roman" w:hAnsi="Times New Roman"/>
          <w:sz w:val="20"/>
          <w:u w:val="single"/>
        </w:rPr>
        <w:t>Dividing Person</w:t>
      </w:r>
      <w:r>
        <w:rPr>
          <w:rFonts w:ascii="Times New Roman" w:hAnsi="Times New Roman"/>
          <w:sz w:val="20"/>
        </w:rPr>
        <w:t xml:space="preserve">” has the meaning assigned to it in the definition of “Division.” </w:t>
      </w:r>
    </w:p>
    <w:p>
      <w:pPr>
        <w:pStyle w:val="TextBody"/>
        <w:bidi w:val="0"/>
        <w:spacing w:before="240" w:after="0"/>
        <w:jc w:val="left"/>
        <w:rPr/>
      </w:pPr>
      <w:r>
        <w:rPr/>
        <w:t>“</w:t>
      </w:r>
      <w:r>
        <w:rPr>
          <w:rFonts w:ascii="Times New Roman" w:hAnsi="Times New Roman"/>
          <w:sz w:val="20"/>
          <w:u w:val="single"/>
        </w:rPr>
        <w:t>Division</w:t>
      </w:r>
      <w:r>
        <w:rPr>
          <w:rFonts w:ascii="Times New Roman" w:hAnsi="Times New Roman"/>
          <w:sz w:val="20"/>
        </w:rPr>
        <w:t>” means the division of the assets, liabilities and/or obligations of a Person (the “</w:t>
      </w:r>
      <w:r>
        <w:rPr>
          <w:rFonts w:ascii="Times New Roman" w:hAnsi="Times New Roman"/>
          <w:sz w:val="20"/>
          <w:u w:val="single"/>
        </w:rPr>
        <w:t>Dividing Person</w:t>
      </w:r>
      <w:r>
        <w:rPr>
          <w:rFonts w:ascii="Times New Roman" w:hAnsi="Times New Roman"/>
          <w:sz w:val="20"/>
        </w:rPr>
        <w:t xml:space="preserve">”) among two or more Persons (whether pursuant to a “plan of division” or similar arrangement), which may or may not include the Dividing Person and pursuant to which the Dividing Person may or may not survive. </w:t>
      </w:r>
    </w:p>
    <w:p>
      <w:pPr>
        <w:pStyle w:val="TextBody"/>
        <w:bidi w:val="0"/>
        <w:spacing w:before="240" w:after="0"/>
        <w:jc w:val="left"/>
        <w:rPr/>
      </w:pPr>
      <w:r>
        <w:rPr/>
        <w:t>“</w:t>
      </w:r>
      <w:r>
        <w:rPr>
          <w:rFonts w:ascii="Times New Roman" w:hAnsi="Times New Roman"/>
          <w:sz w:val="20"/>
          <w:u w:val="single"/>
        </w:rPr>
        <w:t>Division Successor</w:t>
      </w:r>
      <w:r>
        <w:rPr>
          <w:rFonts w:ascii="Times New Roman" w:hAnsi="Times New Roman"/>
          <w:sz w:val="20"/>
        </w:rPr>
        <w:t xml:space="preserve">”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 </w:t>
      </w:r>
    </w:p>
    <w:p>
      <w:pPr>
        <w:pStyle w:val="TextBody"/>
        <w:bidi w:val="0"/>
        <w:spacing w:before="240" w:after="0"/>
        <w:jc w:val="left"/>
        <w:rPr/>
      </w:pPr>
      <w:r>
        <w:rPr/>
        <w:t>“</w:t>
      </w:r>
      <w:r>
        <w:rPr>
          <w:rFonts w:ascii="Times New Roman" w:hAnsi="Times New Roman"/>
          <w:sz w:val="20"/>
          <w:u w:val="single"/>
        </w:rPr>
        <w:t>Document</w:t>
      </w:r>
      <w:r>
        <w:rPr>
          <w:rFonts w:ascii="Times New Roman" w:hAnsi="Times New Roman"/>
          <w:sz w:val="20"/>
        </w:rPr>
        <w:t xml:space="preserve">” has the meaning assigned to such term in the Security Agreements. </w:t>
      </w:r>
    </w:p>
    <w:p>
      <w:pPr>
        <w:pStyle w:val="TextBody"/>
        <w:bidi w:val="0"/>
        <w:spacing w:before="240" w:after="0"/>
        <w:jc w:val="left"/>
        <w:rPr/>
      </w:pPr>
      <w:r>
        <w:rPr/>
        <w:t>“</w:t>
      </w:r>
      <w:r>
        <w:rPr>
          <w:rFonts w:ascii="Times New Roman" w:hAnsi="Times New Roman"/>
          <w:sz w:val="20"/>
          <w:u w:val="single"/>
        </w:rPr>
        <w:t>Dollar Equivalent</w:t>
      </w:r>
      <w:r>
        <w:rPr>
          <w:rFonts w:ascii="Times New Roman" w:hAnsi="Times New Roman"/>
          <w:sz w:val="20"/>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Duration Fee Rate” has the meaning assigned to such term in Section 2.12(d).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Dutch Auction</w:t>
      </w:r>
      <w:r>
        <w:rPr>
          <w:rFonts w:ascii="Times New Roman" w:hAnsi="Times New Roman"/>
          <w:sz w:val="20"/>
        </w:rPr>
        <w:t>” means an auction (an “</w:t>
      </w:r>
      <w:r>
        <w:rPr>
          <w:rFonts w:ascii="Times New Roman" w:hAnsi="Times New Roman"/>
          <w:sz w:val="20"/>
          <w:u w:val="single"/>
        </w:rPr>
        <w:t>Auction</w:t>
      </w:r>
      <w:r>
        <w:rPr>
          <w:rFonts w:ascii="Times New Roman" w:hAnsi="Times New Roman"/>
          <w:sz w:val="20"/>
        </w:rPr>
        <w:t xml:space="preserve">”) conducted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one of its Subsidiaries in order to purchase Term Loans of any Class (the “</w:t>
      </w:r>
      <w:r>
        <w:rPr>
          <w:rFonts w:ascii="Times New Roman" w:hAnsi="Times New Roman"/>
          <w:sz w:val="20"/>
          <w:u w:val="single"/>
        </w:rPr>
        <w:t>Purchase</w:t>
      </w:r>
      <w:r>
        <w:rPr>
          <w:rFonts w:ascii="Times New Roman" w:hAnsi="Times New Roman"/>
          <w:sz w:val="20"/>
        </w:rPr>
        <w:t xml:space="preserve">”) in accordance with the following procedures or such other procedures as may be agreed to between the Auction Agent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Procedures</w:t>
      </w:r>
      <w:r>
        <w:rPr>
          <w:rFonts w:ascii="Times New Roman" w:hAnsi="Times New Roman"/>
          <w:sz w:val="20"/>
        </w:rPr>
        <w:t>. In connection with any Auction, the Company shall provide notification to the Auction Agent (for distribution to the Appropriate Lenders) of the Class of Term Loans that will be the subject of the Auction (an “</w:t>
      </w:r>
      <w:r>
        <w:rPr>
          <w:rFonts w:ascii="Times New Roman" w:hAnsi="Times New Roman"/>
          <w:sz w:val="20"/>
          <w:u w:val="single"/>
        </w:rPr>
        <w:t>Auction Notice</w:t>
      </w:r>
      <w:r>
        <w:rPr>
          <w:rFonts w:ascii="Times New Roman" w:hAnsi="Times New Roman"/>
          <w:sz w:val="20"/>
        </w:rPr>
        <w:t>”). Each Auction Notice shall be in a form reasonably acceptable to the Auction Agent and shall specify (i) the total cash value of the bid, in a minimum amount of $5,000,000 with minimum increments of $1,000,000 in excess thereof (the “</w:t>
      </w:r>
      <w:r>
        <w:rPr>
          <w:rFonts w:ascii="Times New Roman" w:hAnsi="Times New Roman"/>
          <w:sz w:val="20"/>
          <w:u w:val="single"/>
        </w:rPr>
        <w:t>Auction Amount</w:t>
      </w:r>
      <w:r>
        <w:rPr>
          <w:rFonts w:ascii="Times New Roman" w:hAnsi="Times New Roman"/>
          <w:sz w:val="20"/>
        </w:rPr>
        <w:t>”) and (ii) the discounts to par, which shall be expressed as a range of percentages (the “</w:t>
      </w:r>
      <w:r>
        <w:rPr>
          <w:rFonts w:ascii="Times New Roman" w:hAnsi="Times New Roman"/>
          <w:sz w:val="20"/>
          <w:u w:val="single"/>
        </w:rPr>
        <w:t>Discount Range</w:t>
      </w:r>
      <w:r>
        <w:rPr>
          <w:rFonts w:ascii="Times New Roman" w:hAnsi="Times New Roman"/>
          <w:sz w:val="20"/>
        </w:rPr>
        <w:t xml:space="preserve">”), representing the range of purchase prices that could be paid in the Auction for such Term Loans at issue.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Reply Procedures</w:t>
      </w:r>
      <w:r>
        <w:rPr>
          <w:rFonts w:ascii="Times New Roman" w:hAnsi="Times New Roman"/>
          <w:sz w:val="20"/>
        </w:rPr>
        <w:t>. In connection with any Auction, each applicable Lender may, in its sole discretion, participate in such Auction by providing the Auction Agent with a notice of participation (the “</w:t>
      </w:r>
      <w:r>
        <w:rPr>
          <w:rFonts w:ascii="Times New Roman" w:hAnsi="Times New Roman"/>
          <w:sz w:val="20"/>
          <w:u w:val="single"/>
        </w:rPr>
        <w:t>Return Bid</w:t>
      </w:r>
      <w:r>
        <w:rPr>
          <w:rFonts w:ascii="Times New Roman" w:hAnsi="Times New Roman"/>
          <w:sz w:val="20"/>
        </w:rPr>
        <w:t>”) which shall be in a form reasonably acceptable to the Auction Agent and shall specify (i) a discount to par (such discount being the “</w:t>
      </w:r>
      <w:r>
        <w:rPr>
          <w:rFonts w:ascii="Times New Roman" w:hAnsi="Times New Roman"/>
          <w:sz w:val="20"/>
          <w:u w:val="single"/>
        </w:rPr>
        <w:t>Reply Discount</w:t>
      </w:r>
      <w:r>
        <w:rPr>
          <w:rFonts w:ascii="Times New Roman" w:hAnsi="Times New Roman"/>
          <w:sz w:val="20"/>
        </w:rPr>
        <w:t>”) that must be expressed as a price, which must be within the Discount Range, and (ii) a principal amount of the applicable Loans such Lender is willing to sell, which must be in increments of $1,000,000 or in an amount equal to such Lender’s entire remaining amount of the applicable Loans (the “</w:t>
      </w:r>
      <w:r>
        <w:rPr>
          <w:rFonts w:ascii="Times New Roman" w:hAnsi="Times New Roman"/>
          <w:sz w:val="20"/>
          <w:u w:val="single"/>
        </w:rPr>
        <w:t>Reply Amount</w:t>
      </w:r>
      <w:r>
        <w:rPr>
          <w:rFonts w:ascii="Times New Roman" w:hAnsi="Times New Roman"/>
          <w:sz w:val="20"/>
        </w:rPr>
        <w:t xml:space="preserve">”). Lenders may only submit one Return Bid per Auction. In addition to the Return Bid, each Lender wishing to participate in such Auction must execute and deliver, to be held in escrow by the Auction Agent, an assignment and acceptance agreement in a form reasonably acceptable to the Auction Agent (and shall authorize the Auction Agent to adjust the same to reflect any ratable treatment required by clause (c) below).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Acceptance Procedures</w:t>
      </w:r>
      <w:r>
        <w:rPr>
          <w:rFonts w:ascii="Times New Roman" w:hAnsi="Times New Roman"/>
          <w:sz w:val="20"/>
        </w:rPr>
        <w:t>. Based on the Reply Discounts and Reply Amounts received by the Auction Agent, the Auction Agent, in consultation with the Company, will determine the applicable discount with respect to all Loans (the “</w:t>
      </w:r>
      <w:r>
        <w:rPr>
          <w:rFonts w:ascii="Times New Roman" w:hAnsi="Times New Roman"/>
          <w:sz w:val="20"/>
          <w:u w:val="single"/>
        </w:rPr>
        <w:t>Applicable Discount</w:t>
      </w:r>
      <w:r>
        <w:rPr>
          <w:rFonts w:ascii="Times New Roman" w:hAnsi="Times New Roman"/>
          <w:sz w:val="20"/>
        </w:rPr>
        <w:t xml:space="preserve">”) for the Auction, which shall be the highest Reply Discount for which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Subsidiary, as applicable, can complete the Auction at the Auction Amount; </w:t>
      </w:r>
      <w:r>
        <w:rPr>
          <w:rFonts w:ascii="Times New Roman" w:hAnsi="Times New Roman"/>
          <w:sz w:val="20"/>
          <w:u w:val="single"/>
        </w:rPr>
        <w:t>provided</w:t>
      </w:r>
      <w:r>
        <w:rPr>
          <w:rFonts w:ascii="Times New Roman" w:hAnsi="Times New Roman"/>
          <w:sz w:val="20"/>
        </w:rPr>
        <w:t xml:space="preserve"> that, in the event that the Reply Amounts are insufficient to allow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its Subsidiary, as applicable, to complete a purchase of the entire Auction Amount (any such Auction, a “</w:t>
      </w:r>
      <w:r>
        <w:rPr>
          <w:rFonts w:ascii="Times New Roman" w:hAnsi="Times New Roman"/>
          <w:sz w:val="20"/>
          <w:u w:val="single"/>
        </w:rPr>
        <w:t>Failed Auction</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such Subsidiary shall either, at its election, (i) withdraw the Auction or (ii) complete the Auction at an Applicable Discount equal to the lowest Reply Discount.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its Subsidiary, as applicable, shall purchase the applicable Loans (or the respective portions thereof) from each applicable Lender with a Reply Discount that is equal to or greater than the Applicable Discount (“</w:t>
      </w:r>
      <w:r>
        <w:rPr>
          <w:rFonts w:ascii="Times New Roman" w:hAnsi="Times New Roman"/>
          <w:sz w:val="20"/>
          <w:u w:val="single"/>
        </w:rPr>
        <w:t>Qualifying Bids</w:t>
      </w:r>
      <w:r>
        <w:rPr>
          <w:rFonts w:ascii="Times New Roman" w:hAnsi="Times New Roman"/>
          <w:sz w:val="20"/>
        </w:rPr>
        <w:t xml:space="preserve">”) at the Applicable Discount; </w:t>
      </w:r>
      <w:r>
        <w:rPr>
          <w:rFonts w:ascii="Times New Roman" w:hAnsi="Times New Roman"/>
          <w:sz w:val="20"/>
          <w:u w:val="single"/>
        </w:rPr>
        <w:t>provided</w:t>
      </w:r>
      <w:r>
        <w:rPr>
          <w:rFonts w:ascii="Times New Roman" w:hAnsi="Times New Roman"/>
          <w:sz w:val="20"/>
        </w:rPr>
        <w:t xml:space="preserve"> that if the aggregate proceeds required to purchase all applicable Loans subject to Qualifying Bids would exceed the Auction Amount for such Auction,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Subsidiary, as applicable, shall purchase such Loans at the Applicable Discount ratably based on the principal amounts of such Qualifying Bids (subject to adjustment for rounding as specified by the Auction Agent). Each participating Lender will receive notice of a Qualifying Bid as soon as reasonably practicable but in no case later than five (5) Business Days from the date the Return Bid was due.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Procedures</w:t>
      </w:r>
      <w:r>
        <w:rPr>
          <w:rFonts w:ascii="Times New Roman" w:hAnsi="Times New Roman"/>
          <w:sz w:val="20"/>
        </w:rPr>
        <w:t xml:space="preserve">. Once initiated by an Auction Notice,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Subsidiary, as applicable,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Discount. The Purchase shall be consummated pursuant to and in accordance with Section 9.04 and, to the extent not otherwise provided herein, shall otherwise be consummated pursuant to procedures (including as to timing, rounding and minimum amounts, Interest Periods, and other notices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such Subsidiaries, as applicable) reasonably acceptable to the Administrative Agent and the Company; provided that such Purchase shall be required to be consummated within a time period to be specified in the applicable Qualifying Bid.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DQ List</w:t>
      </w:r>
      <w:r>
        <w:rPr>
          <w:rFonts w:ascii="Times New Roman" w:hAnsi="Times New Roman"/>
          <w:sz w:val="20"/>
        </w:rPr>
        <w:t xml:space="preserve">” has the meaning assigned to such term in Section 9.04(e)(iv). </w:t>
      </w:r>
    </w:p>
    <w:p>
      <w:pPr>
        <w:pStyle w:val="TextBody"/>
        <w:bidi w:val="0"/>
        <w:spacing w:before="240" w:after="0"/>
        <w:jc w:val="left"/>
        <w:rPr/>
      </w:pPr>
      <w:r>
        <w:rPr/>
        <w:t>“</w:t>
      </w:r>
      <w:r>
        <w:rPr>
          <w:rFonts w:ascii="Times New Roman" w:hAnsi="Times New Roman"/>
          <w:sz w:val="20"/>
          <w:u w:val="single"/>
        </w:rPr>
        <w:t>EBITDA</w:t>
      </w:r>
      <w:r>
        <w:rPr>
          <w:rFonts w:ascii="Times New Roman" w:hAnsi="Times New Roman"/>
          <w:sz w:val="20"/>
        </w:rPr>
        <w:t xml:space="preserve">” means, for any period, Net Income for such period </w:t>
      </w:r>
      <w:r>
        <w:rPr>
          <w:rFonts w:ascii="Times New Roman" w:hAnsi="Times New Roman"/>
          <w:i/>
          <w:sz w:val="20"/>
          <w:u w:val="single"/>
        </w:rPr>
        <w:t>plus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without duplication and to the extent deducted (and not added back or excluded) in determining Net Income for such period, the sum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Expense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strike/>
                <w:color w:val="FF0000"/>
              </w:rPr>
            </w:pPr>
            <w:r>
              <w:rPr>
                <w:strike/>
                <w:color w:val="FF0000"/>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income tax expense for such period net of tax refunds,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provision for Taxes based on income, profits, revenue or capital, including federal, foreign and state income, franchise, excise, value added and similar Taxes and foreign withholding Taxes paid or accrued during such period (including any future Taxes or other levies that replace or are intended to be in lieu of taxes, and any penalties and interest related to Taxes or arising from tax examinations) and the net tax expense associated with any adjustments made pursuant to the definition of “Net Income,” and, without duplication, any payments to a parent in respect of such taxes permitted to be made hereunder, in each case, net of Tax refunds,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amounts attributable to depreciation and amortization expense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losses realized from asset Dispositions outside the ordinary course of business permitted under </w:t>
            </w:r>
            <w:r>
              <w:rPr>
                <w:rFonts w:ascii="Times New Roman" w:hAnsi="Times New Roman"/>
                <w:sz w:val="20"/>
                <w:u w:val="single"/>
              </w:rPr>
              <w:t>Section 6.05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losses or expenses, including, without limitation, noncash costs of incentive compensation, for which no cash outlay (or cash receipt) has been made or is foreseeable prior to the Maturity Date, in each case, other than any such noncash loss relating to the write-offs, write-downs or reserves with respect to accounts receivable in the normal course or Inventory; provided that, if any such non-cash item represents an accrual or reserve for potential cash items in any future period, to the extent the Company elects to add back any such non-cash item, the cash payment in respect thereof in such future period shall be subtracted from EBITDA in such future period to such extent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strike/>
                <w:color w:val="FF0000"/>
                <w:sz w:val="20"/>
              </w:rPr>
              <w:t>Closing Date</w:t>
            </w:r>
            <w:r>
              <w:rPr>
                <w:rFonts w:ascii="Times New Roman" w:hAnsi="Times New Roman"/>
                <w:color w:val="0000FF"/>
                <w:sz w:val="20"/>
                <w:u w:val="single"/>
                <w:bdr w:val="double" w:sz="2" w:space="1" w:color="000000"/>
              </w:rPr>
              <w:t>Take-Private Transaction</w:t>
            </w:r>
            <w:r>
              <w:rPr>
                <w:rFonts w:ascii="Times New Roman" w:hAnsi="Times New Roman"/>
                <w:sz w:val="20"/>
              </w:rPr>
              <w:t xml:space="preserve"> Transaction Expenses that are paid, expensed or otherwise accounted for prior to or within </w:t>
            </w:r>
            <w:r>
              <w:rPr>
                <w:rFonts w:ascii="Times New Roman" w:hAnsi="Times New Roman"/>
                <w:strike/>
                <w:color w:val="FF0000"/>
                <w:sz w:val="20"/>
              </w:rPr>
              <w:t>180 days</w:t>
            </w:r>
            <w:r>
              <w:rPr>
                <w:rFonts w:ascii="Times New Roman" w:hAnsi="Times New Roman"/>
                <w:color w:val="0000FF"/>
                <w:sz w:val="20"/>
                <w:u w:val="single"/>
                <w:bdr w:val="double" w:sz="2" w:space="1" w:color="000000"/>
              </w:rPr>
              <w:t>one year</w:t>
            </w:r>
            <w:r>
              <w:rPr>
                <w:rFonts w:ascii="Times New Roman" w:hAnsi="Times New Roman"/>
                <w:sz w:val="20"/>
              </w:rPr>
              <w:t xml:space="preserve"> following the consummation of the </w:t>
            </w:r>
            <w:r>
              <w:rPr>
                <w:rFonts w:ascii="Times New Roman" w:hAnsi="Times New Roman"/>
                <w:strike/>
                <w:color w:val="FF0000"/>
                <w:sz w:val="20"/>
              </w:rPr>
              <w:t>Transactions</w:t>
            </w:r>
            <w:r>
              <w:rPr>
                <w:rFonts w:ascii="Times New Roman" w:hAnsi="Times New Roman"/>
                <w:color w:val="0000FF"/>
                <w:sz w:val="20"/>
                <w:u w:val="single"/>
                <w:bdr w:val="double" w:sz="2" w:space="1" w:color="000000"/>
              </w:rPr>
              <w:t>Take-Private Transaction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non-recurring or unusual expenses, including business optimization expenses, IT implementation/enhancement/update costs, severance costs, consulting fees, lease termination/activation costs, relocation costs, restructuring charges, retention or completion bonuses, executive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leadership signing costs, upfront costs in connection with a new strategic initiative, upfront costs in connection with a new strategic commercial initiative including, but not limited to, green fielding a new market or pilot costs in existing or new markets and other nonrecurring expenses not otherwise added back to EBITDA, in each case, actually incurred, </w:t>
            </w:r>
            <w:r>
              <w:rPr>
                <w:strike/>
                <w:color w:val="FF0000"/>
              </w:rPr>
              <w:t>in an aggregate amount not to exceed, for any four (4) fiscal quarter measurement period, together with the add-backs in clauses (a)(viii) and (a)(xviii)(b) below, the Combined Cap (as defined below);</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the amount of “run-rate” cost savings (the “</w:t>
            </w:r>
            <w:r>
              <w:rPr>
                <w:rFonts w:ascii="Times New Roman" w:hAnsi="Times New Roman"/>
                <w:sz w:val="20"/>
                <w:u w:val="single"/>
              </w:rPr>
              <w:t>Cost Savings</w:t>
            </w:r>
            <w:r>
              <w:rPr>
                <w:rFonts w:ascii="Times New Roman" w:hAnsi="Times New Roman"/>
                <w:sz w:val="20"/>
              </w:rPr>
              <w:t>”) projected by the Company in good faith to result from actions taken prior to the last day of such period with respect to integrating, consolidating or discontinuing operations, headcount reductions, or closure of facilities, which Cost Savings shall be calculated on a pro forma basis as though such Cost Savings had been realized on the first day of such period, net of the amount of actual benefits realized from such actions</w:t>
            </w:r>
            <w:r>
              <w:rPr>
                <w:rFonts w:ascii="Times New Roman" w:hAnsi="Times New Roman"/>
                <w:strike/>
                <w:color w:val="FF0000"/>
                <w:sz w:val="20"/>
              </w:rPr>
              <w:t xml:space="preserve"> in an aggregate amount not to exceed, for any four (4) fiscal quarter measurement period, together with the add-backs in clauses (a)(vii) above and (a)(xviii)(b) below, the Combined Cap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Responsible Officer shall have provided a reasonably detailed statement or schedule of such Cost Savings and shall have certified to the Administrative Agent that (x) such Cost Savings are reasonably identifiable and factually supportable, reasonably attributable to the actions specified and anticipated to result from such actions and (y) such actions have been taken and are ongoing, and the benefits resulting therefrom are anticipated by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Company to be realized within twenty-four (24) months of the end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relating to adjustments to purchase price adjustments, earnouts (to the extent permitted hereunder and actually paid), deferred compensation, or other arrangements representing acquisition consideration or deferred payments of similar nature incurred in connection with any Permitted Acquisitions that are, in each case, incurred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(including out-of-pocket expenses) incurred during such period in connection with (A) the consummation of (a) asset Dispositions, (b) the issuance of Equity Interests or Indebtedness permitted under this Agreement, (c) the consummation of Permitted Acquisitions or any other investment outside of the ordinary course of business, in each case for this clause (A), (x) permitted under this Agreement and (y) consummated after the Effective Date (but whether or not any such transaction closes) and (B) to the extent actually reimbursed (or reasonably expected to be reimbursed in a subsequent period and within one year of the underlying loss; </w:t>
            </w:r>
            <w:r>
              <w:rPr>
                <w:rFonts w:ascii="Times New Roman" w:hAnsi="Times New Roman"/>
                <w:sz w:val="20"/>
                <w:u w:val="single"/>
              </w:rPr>
              <w:t>provided</w:t>
            </w:r>
            <w:r>
              <w:rPr>
                <w:rFonts w:ascii="Times New Roman" w:hAnsi="Times New Roman"/>
                <w:sz w:val="20"/>
              </w:rPr>
              <w:t xml:space="preserve"> that if not so reimbursed within such one-year period, such amount shall be subtracted in the subsequent calculation period) from insurance proceeds (and such reimbursement proceeds are not included in the calculation of Net Income), any casualty, condemnation or similar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directors’/managers’/governors’ fees and reimbursement of actual and reasonable out-of-pocket costs and expenses incurred in connection with attending board of directors/managers/governors meetings, to the extent permitted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reimbursement of actual and reasonable out-of-pocket expenses incurred by officers in connection with attending board of directors’/managers’/governors’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actually reimbursed (or reasonably expected to be reimbursed in a subsequent period and within one year of the underlying loss; </w:t>
            </w:r>
            <w:r>
              <w:rPr>
                <w:rFonts w:ascii="Times New Roman" w:hAnsi="Times New Roman"/>
                <w:sz w:val="20"/>
                <w:u w:val="single"/>
              </w:rPr>
              <w:t>provided</w:t>
            </w:r>
            <w:r>
              <w:rPr>
                <w:rFonts w:ascii="Times New Roman" w:hAnsi="Times New Roman"/>
                <w:sz w:val="20"/>
              </w:rPr>
              <w:t xml:space="preserve"> that if not so reimbursed within such one-year period, such amount shall be subtracted in the subsequent calculation period) from insurance proceeds (and such reimbursement proceeds are not included in the calculation of Net Income), expenses with respect to business interruption,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(including, without limitation, amendment fees and expenses paid (including reimbursement of third party expenses) to the Administrative Agent and/or Lenders) incurred in connection with amendments to the Loan Documents, in each case, to the extent disclosed to the Administrative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and expenses to the extent covered by indemnification provisions in any agreement or otherwise reimbursable by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(xvi)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non-recurring, unusual or extraordinary non-cash charges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(xvii)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non-cash charges for such period which do not represent a cash item in such period (but excluding any non-cash charge in respect of an item that was included in Net Income in a prior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8"/>
        <w:gridCol w:w="526"/>
        <w:gridCol w:w="8361"/>
      </w:tblGrid>
      <w:tr>
        <w:trPr/>
        <w:tc>
          <w:tcPr>
            <w:tcW w:w="1318" w:type="dxa"/>
            <w:tcBorders/>
            <w:vAlign w:val="center"/>
          </w:tcPr>
          <w:p>
            <w:pPr>
              <w:pStyle w:val="TableContents"/>
              <w:bidi w:val="0"/>
              <w:spacing w:before="0" w:after="283"/>
              <w:jc w:val="left"/>
              <w:rPr/>
            </w:pPr>
            <w:r>
              <w:rPr/>
              <w:t> </w:t>
            </w:r>
          </w:p>
        </w:tc>
        <w:tc>
          <w:tcPr>
            <w:tcW w:w="526" w:type="dxa"/>
            <w:tcBorders/>
          </w:tcPr>
          <w:p>
            <w:pPr>
              <w:pStyle w:val="TableContents"/>
              <w:bidi w:val="0"/>
              <w:spacing w:before="0" w:after="283"/>
              <w:jc w:val="left"/>
              <w:rPr/>
            </w:pPr>
            <w:r>
              <w:rPr/>
              <w:t>(xviii)</w:t>
            </w:r>
          </w:p>
        </w:tc>
        <w:tc>
          <w:tcPr>
            <w:tcW w:w="83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Acquired EBITDA of any Person, property, business or asset acquired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during such period (but not the Acquired EBITDA of any related Person, property, business or assets to the extent not so acquired), to the extent not subsequently sold, transferred or otherwise disposed of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such Restricted Subsidiary during such period (each such Person, property, business or asset acquired and not subsequently so Disposed of, an “</w:t>
            </w:r>
            <w:r>
              <w:rPr>
                <w:rFonts w:ascii="Times New Roman" w:hAnsi="Times New Roman"/>
                <w:sz w:val="20"/>
                <w:u w:val="single"/>
              </w:rPr>
              <w:t>Acquired Entity or Business</w:t>
            </w:r>
            <w:r>
              <w:rPr>
                <w:rFonts w:ascii="Times New Roman" w:hAnsi="Times New Roman"/>
                <w:sz w:val="20"/>
              </w:rPr>
              <w:t>”) for the most recent twelve (12)-month period then ended and (b) cost savings projected by the Company in good faith to be realized within twenty-four (24) months of the closing date of a Permitted Acquisition consummated prior to the last day of such period (which cost savings shall be calculated on a pro forma basis as though such cost savings had been realized on the first day of such period), net of the amount of actual benefits realized or expected to be realized prior to or during such period from such actions</w:t>
            </w:r>
            <w:r>
              <w:rPr>
                <w:rFonts w:ascii="Times New Roman" w:hAnsi="Times New Roman"/>
                <w:strike/>
                <w:color w:val="FF0000"/>
                <w:sz w:val="20"/>
              </w:rPr>
              <w:t xml:space="preserve"> in an aggregate amount not to exceed, for any four (4) fiscal quarter measurement period, together with the add-backs in clauses (a)(vii) and (a)(viii), the Combined Cap</w:t>
            </w:r>
            <w:r>
              <w:rPr>
                <w:rFonts w:ascii="Times New Roman" w:hAnsi="Times New Roman"/>
                <w:sz w:val="20"/>
              </w:rPr>
              <w:t xml:space="preserve">; </w:t>
            </w:r>
            <w:r>
              <w:rPr>
                <w:rFonts w:ascii="Times New Roman" w:hAnsi="Times New Roman"/>
                <w:sz w:val="20"/>
                <w:u w:val="single"/>
              </w:rPr>
              <w:t xml:space="preserve">provided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pPr>
            <w:r>
              <w:rPr/>
              <w:t> </w:t>
            </w:r>
          </w:p>
        </w:tc>
        <w:tc>
          <w:tcPr>
            <w:tcW w:w="8369" w:type="dxa"/>
            <w:tcBorders/>
          </w:tcPr>
          <w:p>
            <w:pPr>
              <w:pStyle w:val="TableContents"/>
              <w:bidi w:val="0"/>
              <w:spacing w:before="0" w:after="283"/>
              <w:jc w:val="left"/>
              <w:rPr/>
            </w:pPr>
            <w:r>
              <w:rPr/>
              <w:t xml:space="preserve">that, a Responsible Officer shall have provided a reasonably detailed statement or schedule of such cost savings and shall have certified to the Administrative Agent that (x) such cost savings are reasonably identifiable and factually supportable, reasonably attributable to the actions specified and anticipated to result from such actions and (y) such acquisition has been consummated, and the benefits resulting therefrom are anticipated by Borrower to be realized within twenty-four (24) months of the end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any transition agreement and other non-recurring or unusual fees, costs or expenses in connection with the integration and operation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following any Permitted Acquisition consummated after the </w:t>
            </w:r>
            <w:r>
              <w:rPr>
                <w:rFonts w:ascii="Times New Roman" w:hAnsi="Times New Roman"/>
                <w:strike/>
                <w:color w:val="FF0000"/>
                <w:sz w:val="20"/>
              </w:rPr>
              <w:t>Effective</w:t>
            </w:r>
            <w:r>
              <w:rPr>
                <w:rFonts w:ascii="Times New Roman" w:hAnsi="Times New Roman"/>
                <w:color w:val="0000FF"/>
                <w:sz w:val="20"/>
                <w:u w:val="single"/>
                <w:bdr w:val="double" w:sz="2" w:space="1" w:color="000000"/>
              </w:rPr>
              <w:t>First Amendment</w:t>
            </w:r>
            <w:r>
              <w:rPr>
                <w:rFonts w:ascii="Times New Roman" w:hAnsi="Times New Roman"/>
                <w:sz w:val="20"/>
              </w:rPr>
              <w:t xml:space="preserve"> Date,</w:t>
            </w:r>
            <w:r>
              <w:rPr>
                <w:rFonts w:ascii="Times New Roman" w:hAnsi="Times New Roman"/>
                <w:strike/>
                <w:color w:val="FF0000"/>
                <w:sz w:val="20"/>
              </w:rPr>
              <w:t xml:space="preserv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(xx)</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expenses arising from grants of stock appreciation rights, stock performance rights, stock options or restricted stock or other equity instruments granted under the Company’s </w:t>
            </w:r>
            <w:r>
              <w:rPr>
                <w:rFonts w:ascii="Times New Roman" w:hAnsi="Times New Roman"/>
                <w:color w:val="0000FF"/>
                <w:sz w:val="20"/>
                <w:u w:val="single"/>
                <w:bdr w:val="double" w:sz="2" w:space="1" w:color="000000"/>
              </w:rPr>
              <w:t xml:space="preserve">(or, after the consummation of the Take-Private Transaction, HoldCo’s) </w:t>
            </w:r>
            <w:r>
              <w:rPr>
                <w:rFonts w:ascii="Times New Roman" w:hAnsi="Times New Roman"/>
                <w:sz w:val="20"/>
              </w:rPr>
              <w:t>equity incentive plan</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w:t>
            </w:r>
          </w:p>
        </w:tc>
        <w:tc>
          <w:tcPr>
            <w:tcW w:w="8370"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 the amount of board of director fees and any management, monitoring, consulting, transaction, advisory and other fees (including transaction and termination fees) and indemnities and expenses paid or accrued in such period, in any such case, to the extent permitted under Section 6.09, and (ii) payments made to Sponsor for any financial advisory, financing, underwriting or placement services or in respect of other investment banking activities to the extent permitted under Section 6.09,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adjustments, exclusions and add-backs (excluding “revenue” synergies) set forth in any quality of earnings analysis prepared by independent registered public accountants of recognized national or regional standing or any other accounting firm reasonably acceptable to the Administrative Agent and delivered to the Administrative Agent in connection with any Permitted Acquisition or other permitted investment; provided that if any amount added back in the calculation of EBITDA pursuant to this clause (xxii) would, if not identified in such quality of earnings analysis, be eligible to be added back in the calculation of EBITDA pursuant to any of clauses (a)(vii), (a)(viii), or (a)(xviii)(b) (in the good faith determination of the Company), such amount will be subject to the conditions of such clauses and included (calculated before giving effect to such add-back) for purposes of calculating the Combined Cap for the applicable period,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13"/>
        <w:gridCol w:w="540"/>
        <w:gridCol w:w="8352"/>
      </w:tblGrid>
      <w:tr>
        <w:trPr/>
        <w:tc>
          <w:tcPr>
            <w:tcW w:w="1313" w:type="dxa"/>
            <w:tcBorders/>
            <w:vAlign w:val="center"/>
          </w:tcPr>
          <w:p>
            <w:pPr>
              <w:pStyle w:val="TableContents"/>
              <w:bidi w:val="0"/>
              <w:spacing w:before="0" w:after="283"/>
              <w:jc w:val="left"/>
              <w:rPr/>
            </w:pPr>
            <w:r>
              <w:rPr/>
              <w:t> </w:t>
            </w:r>
          </w:p>
        </w:tc>
        <w:tc>
          <w:tcPr>
            <w:tcW w:w="54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(xxiii)</w:t>
            </w:r>
          </w:p>
        </w:tc>
        <w:tc>
          <w:tcPr>
            <w:tcW w:w="8352"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adjustments, exclusions and add-backs identified in the model (and limited to the amounts and time periods specified therein) delivered to the Lenders on July 1, 2026 (the “First Amendment Date Sponsor Model”); provided that if any amount added back in the calculation of EBITDA pursuant to this clause (xxiii) would, if not identified in the First Amendment Date Sponsor Model, be eligible to be be added back in the calculation of EBITDA pursuant to any of clauses (a)(vii), (a)(viii), or (a)(xviii)(b) in the good faith determination of the Company), such amount will be subject to the conditions of such clauses and included (calculated before giving effect to such add-back) for purposes of calculating the Combined Cap for the applicable period,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893"/>
        <w:gridCol w:w="531"/>
        <w:gridCol w:w="8781"/>
      </w:tblGrid>
      <w:tr>
        <w:trPr/>
        <w:tc>
          <w:tcPr>
            <w:tcW w:w="893" w:type="dxa"/>
            <w:tcBorders/>
            <w:vAlign w:val="center"/>
          </w:tcPr>
          <w:p>
            <w:pPr>
              <w:pStyle w:val="TableContents"/>
              <w:bidi w:val="0"/>
              <w:spacing w:before="0" w:after="283"/>
              <w:jc w:val="left"/>
              <w:rPr/>
            </w:pPr>
            <w:r>
              <w:rPr/>
              <w:t> </w:t>
            </w:r>
          </w:p>
        </w:tc>
        <w:tc>
          <w:tcPr>
            <w:tcW w:w="531"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(xxiv)</w:t>
            </w:r>
          </w:p>
        </w:tc>
        <w:tc>
          <w:tcPr>
            <w:tcW w:w="878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adjustments, exclusions and add-backs consistent with Regulation S-X of the SEC (as in effect prior to January 1, 2021),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3"/>
        <w:gridCol w:w="455"/>
        <w:gridCol w:w="8847"/>
      </w:tblGrid>
      <w:tr>
        <w:trPr/>
        <w:tc>
          <w:tcPr>
            <w:tcW w:w="903" w:type="dxa"/>
            <w:tcBorders/>
            <w:vAlign w:val="center"/>
          </w:tcPr>
          <w:p>
            <w:pPr>
              <w:pStyle w:val="TableContents"/>
              <w:bidi w:val="0"/>
              <w:spacing w:before="0" w:after="283"/>
              <w:jc w:val="left"/>
              <w:rPr/>
            </w:pPr>
            <w:r>
              <w:rPr/>
              <w:t> </w:t>
            </w:r>
          </w:p>
        </w:tc>
        <w:tc>
          <w:tcPr>
            <w:tcW w:w="455"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(xxv)</w:t>
            </w:r>
          </w:p>
        </w:tc>
        <w:tc>
          <w:tcPr>
            <w:tcW w:w="8847"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fees, costs and expenses incurred in connection with the implementation of Accounting Standards Codification Topic No. 606 (or any comparable regulation) and Accounting Standards Codification Topic No. 842 (or any comparable regulation) and any non-cash losses or charges resulting from the application of Accounting Standards Codification Topic No. 606 (or any comparable regulation) and Accounting Standards Codification Topic No. 842 (or any comparable regulation);</w:t>
            </w:r>
            <w:r>
              <w:rPr>
                <w:rFonts w:ascii="Times New Roman" w:hAnsi="Times New Roman"/>
                <w:sz w:val="20"/>
              </w:rPr>
              <w:t xml:space="preserve"> </w:t>
            </w:r>
          </w:p>
        </w:tc>
      </w:tr>
    </w:tbl>
    <w:p>
      <w:pPr>
        <w:pStyle w:val="TextBody"/>
        <w:bidi w:val="0"/>
        <w:spacing w:before="240" w:after="0"/>
        <w:jc w:val="left"/>
        <w:rPr>
          <w:rFonts w:ascii="Times New Roman" w:hAnsi="Times New Roman"/>
          <w:i/>
          <w:sz w:val="20"/>
          <w:u w:val="single"/>
        </w:rPr>
      </w:pPr>
      <w:r>
        <w:rPr>
          <w:rFonts w:ascii="Times New Roman" w:hAnsi="Times New Roman"/>
          <w:i/>
          <w:sz w:val="20"/>
          <w:u w:val="single"/>
        </w:rPr>
        <w:t xml:space="preserve">minus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and to the extent included in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cash payments made during such period in respect of non-cash charges described in clause (a)(xvii) taken in a prior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non-recurring or unusual gains and any non-cash items of income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gains realized upon the disposition of property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Disposed EBITDA of any Person, property, business or asset sold, transferred or otherwise Disposed of or, closed or classified as discontinued operations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or any Restricted Subsidiary during such period (each such Person, property, business or asset so sold or Disposed of, a “</w:t>
            </w:r>
            <w:r>
              <w:rPr>
                <w:rFonts w:ascii="Times New Roman" w:hAnsi="Times New Roman"/>
                <w:sz w:val="20"/>
                <w:u w:val="single"/>
              </w:rPr>
              <w:t>Disposed Entity or Business</w:t>
            </w:r>
            <w:r>
              <w:rPr>
                <w:rFonts w:ascii="Times New Roman" w:hAnsi="Times New Roman"/>
                <w:sz w:val="20"/>
              </w:rPr>
              <w:t xml:space="preserve">”) for the most recent twelve (12)-month period then 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gains realized from asset Dispositions outside the ordinary course of business permitted under </w:t>
            </w:r>
            <w:r>
              <w:rPr>
                <w:rFonts w:ascii="Times New Roman" w:hAnsi="Times New Roman"/>
                <w:sz w:val="20"/>
                <w:u w:val="single"/>
              </w:rPr>
              <w:t>Section 6.05</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gains or income including, without limitation, noncash gains or income of incentive compensation, for which no cash outlay (or cash receipt) has been made or is foreseeable prior to the Maturity Date; provided that, if any such non-cash item represents an accrual or reserve for potential cash items in any future period, to the extent the Company elects to add back any such non-cash item, the cash payment in respect thereof in such future period shall be subtracted from EBITDA in such future period to such extent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calculated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in accordance with GAAP; </w:t>
      </w:r>
      <w:r>
        <w:rPr>
          <w:rFonts w:ascii="Times New Roman" w:hAnsi="Times New Roman"/>
          <w:sz w:val="20"/>
          <w:u w:val="single"/>
        </w:rPr>
        <w:t>provided</w:t>
      </w:r>
      <w:r>
        <w:rPr>
          <w:rFonts w:ascii="Times New Roman" w:hAnsi="Times New Roman"/>
          <w:sz w:val="20"/>
        </w:rPr>
        <w:t xml:space="preserve"> that, notwithstanding any of the foregoing, the aggregate amount all items added back to Net Income during any period in respect of </w:t>
      </w:r>
      <w:r>
        <w:rPr>
          <w:rFonts w:ascii="Times New Roman" w:hAnsi="Times New Roman"/>
          <w:sz w:val="20"/>
          <w:u w:val="single"/>
        </w:rPr>
        <w:t>clauses (a)(vii)</w:t>
      </w:r>
      <w:r>
        <w:rPr>
          <w:rFonts w:ascii="Times New Roman" w:hAnsi="Times New Roman"/>
          <w:sz w:val="20"/>
        </w:rPr>
        <w:t xml:space="preserve">, </w:t>
      </w:r>
      <w:r>
        <w:rPr>
          <w:rFonts w:ascii="Times New Roman" w:hAnsi="Times New Roman"/>
          <w:sz w:val="20"/>
          <w:u w:val="single"/>
        </w:rPr>
        <w:t>(a)(viii)</w:t>
      </w:r>
      <w:r>
        <w:rPr>
          <w:rFonts w:ascii="Times New Roman" w:hAnsi="Times New Roman"/>
          <w:sz w:val="20"/>
        </w:rPr>
        <w:t>, and</w:t>
      </w:r>
      <w:r>
        <w:rPr>
          <w:rFonts w:ascii="Times New Roman" w:hAnsi="Times New Roman"/>
          <w:sz w:val="20"/>
          <w:u w:val="single"/>
        </w:rPr>
        <w:t xml:space="preserve"> (a)(xviii)(b)</w:t>
      </w:r>
      <w:r>
        <w:rPr>
          <w:rFonts w:ascii="Times New Roman" w:hAnsi="Times New Roman"/>
          <w:sz w:val="20"/>
        </w:rPr>
        <w:t xml:space="preserve"> </w:t>
      </w:r>
      <w:r>
        <w:rPr>
          <w:rFonts w:ascii="Times New Roman" w:hAnsi="Times New Roman"/>
          <w:color w:val="0000FF"/>
          <w:sz w:val="20"/>
          <w:u w:val="single"/>
          <w:bdr w:val="double" w:sz="2" w:space="1" w:color="000000"/>
        </w:rPr>
        <w:t>(including items pursuant to either of clauses (a)(xxii) or (xxiii) that would otherwise be eligible to be added back pursuant to clauses (a)(vii), (a)(viii), and (a)(xviii)(b))</w:t>
      </w:r>
      <w:r>
        <w:rPr>
          <w:rFonts w:ascii="Times New Roman" w:hAnsi="Times New Roman"/>
          <w:sz w:val="20"/>
        </w:rPr>
        <w:t xml:space="preserve"> shall not exceed </w:t>
      </w:r>
      <w:r>
        <w:rPr>
          <w:rFonts w:ascii="Times New Roman" w:hAnsi="Times New Roman"/>
          <w:strike/>
          <w:color w:val="FF0000"/>
          <w:sz w:val="20"/>
        </w:rPr>
        <w:t>20</w:t>
      </w:r>
      <w:r>
        <w:rPr>
          <w:rFonts w:ascii="Times New Roman" w:hAnsi="Times New Roman"/>
          <w:color w:val="0000FF"/>
          <w:sz w:val="20"/>
          <w:u w:val="single"/>
          <w:bdr w:val="double" w:sz="2" w:space="1" w:color="000000"/>
        </w:rPr>
        <w:t>30</w:t>
      </w:r>
      <w:r>
        <w:rPr>
          <w:rFonts w:ascii="Times New Roman" w:hAnsi="Times New Roman"/>
          <w:sz w:val="20"/>
        </w:rPr>
        <w:t>% of EBITDA calculated before such add-backs (the “</w:t>
      </w:r>
      <w:r>
        <w:rPr>
          <w:rFonts w:ascii="Times New Roman" w:hAnsi="Times New Roman"/>
          <w:sz w:val="20"/>
          <w:u w:val="single"/>
        </w:rPr>
        <w:t>Combined Cap</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ECP</w:t>
      </w:r>
      <w:r>
        <w:rPr>
          <w:rFonts w:ascii="Times New Roman" w:hAnsi="Times New Roman"/>
          <w:sz w:val="20"/>
        </w:rPr>
        <w:t xml:space="preserve">” means an “eligible contract participant” as defined in Section 1(a)(18) of the Commodity Exchange Act or any regulations promulgated thereunder and the applicable rules issued by the Commodity Futures Trading Commission and/or the SEC. </w:t>
      </w:r>
    </w:p>
    <w:p>
      <w:pPr>
        <w:pStyle w:val="TextBody"/>
        <w:bidi w:val="0"/>
        <w:spacing w:before="12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12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12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120" w:after="0"/>
        <w:jc w:val="left"/>
        <w:rPr/>
      </w:pPr>
      <w:r>
        <w:rPr/>
        <w:t>“</w:t>
      </w:r>
      <w:r>
        <w:rPr>
          <w:rFonts w:ascii="Times New Roman" w:hAnsi="Times New Roman"/>
          <w:sz w:val="20"/>
          <w:u w:val="single"/>
        </w:rPr>
        <w:t>Effective Date</w:t>
      </w:r>
      <w:r>
        <w:rPr>
          <w:rFonts w:ascii="Times New Roman" w:hAnsi="Times New Roman"/>
          <w:sz w:val="20"/>
        </w:rPr>
        <w:t xml:space="preserve">” means the date on which the conditions specified in Section 4.01 are satisfied (or waived in accordance with Section 9.02).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Effective Time” has the meaning assigned to such term in the Take-Private Transaction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120" w:after="0"/>
        <w:jc w:val="left"/>
        <w:rPr/>
      </w:pPr>
      <w:r>
        <w:rPr/>
        <w:t>“</w:t>
      </w:r>
      <w:r>
        <w:rPr>
          <w:rFonts w:ascii="Times New Roman" w:hAnsi="Times New Roman"/>
          <w:sz w:val="20"/>
          <w:u w:val="single"/>
        </w:rPr>
        <w:t>Electronic System</w:t>
      </w:r>
      <w:r>
        <w:rPr>
          <w:rFonts w:ascii="Times New Roman" w:hAnsi="Times New Roman"/>
          <w:sz w:val="20"/>
        </w:rPr>
        <w:t xml:space="preserve">” means any electronic system, including e-mail, e-fax, web portal access for the Borrowers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 </w:t>
      </w:r>
    </w:p>
    <w:p>
      <w:pPr>
        <w:pStyle w:val="TextBody"/>
        <w:bidi w:val="0"/>
        <w:spacing w:before="120" w:after="0"/>
        <w:jc w:val="left"/>
        <w:rPr/>
      </w:pPr>
      <w:r>
        <w:rPr/>
        <w:t>“</w:t>
      </w:r>
      <w:r>
        <w:rPr>
          <w:rFonts w:ascii="Times New Roman" w:hAnsi="Times New Roman"/>
          <w:sz w:val="20"/>
          <w:u w:val="single"/>
        </w:rPr>
        <w:t>Environmental Laws</w:t>
      </w:r>
      <w:r>
        <w:rPr>
          <w:rFonts w:ascii="Times New Roman" w:hAnsi="Times New Roman"/>
          <w:sz w:val="20"/>
        </w:rPr>
        <w:t xml:space="preserve">” means all laws, rules, regulations, codes, orders-in-council,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 </w:t>
      </w:r>
    </w:p>
    <w:p>
      <w:pPr>
        <w:pStyle w:val="TextBody"/>
        <w:bidi w:val="0"/>
        <w:spacing w:before="12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Borrower or any Restricted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Equipment</w:t>
      </w:r>
      <w:r>
        <w:rPr>
          <w:rFonts w:ascii="Times New Roman" w:hAnsi="Times New Roman"/>
          <w:sz w:val="20"/>
        </w:rPr>
        <w:t xml:space="preserve">” has the meaning assigned to such term in the Security Agreements. </w:t>
      </w:r>
    </w:p>
    <w:p>
      <w:pPr>
        <w:pStyle w:val="TextBody"/>
        <w:bidi w:val="0"/>
        <w:spacing w:before="12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w:t>
      </w:r>
    </w:p>
    <w:p>
      <w:pPr>
        <w:pStyle w:val="TextBody"/>
        <w:bidi w:val="0"/>
        <w:spacing w:before="120" w:after="0"/>
        <w:jc w:val="left"/>
        <w:rPr/>
      </w:pPr>
      <w:r>
        <w:rPr/>
        <w:t>“</w:t>
      </w:r>
      <w:r>
        <w:rPr>
          <w:rFonts w:ascii="Times New Roman" w:hAnsi="Times New Roman"/>
          <w:sz w:val="20"/>
          <w:u w:val="single"/>
        </w:rPr>
        <w:t>Equivalent Amount</w:t>
      </w:r>
      <w:r>
        <w:rPr>
          <w:rFonts w:ascii="Times New Roman" w:hAnsi="Times New Roman"/>
          <w:sz w:val="20"/>
        </w:rPr>
        <w:t xml:space="preserve">” means, for any amount of any Alternative Currency, at the time of determination thereof, (a) if such amount is expressed in such Alternative Currency, such amount and (b) if such amount is expressed in Dollars, the equivalent of such amount in such Alternative Currency determined by using the rate of exchange for the purchase of such Alternative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Alternative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w:t>
      </w:r>
    </w:p>
    <w:p>
      <w:pPr>
        <w:pStyle w:val="TextBody"/>
        <w:bidi w:val="0"/>
        <w:spacing w:before="12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12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 </w:t>
      </w:r>
    </w:p>
    <w:p>
      <w:pPr>
        <w:pStyle w:val="TextBody"/>
        <w:bidi w:val="0"/>
        <w:spacing w:before="12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30-day notice period is waived by regulation); (b) the failure of any Borrower or any ERISA Affiliate to satisfy the “minimum funding standard” (as defined in Section 412 of the Code or Section 302 of ERISA), whether or not waived with respect to a Plan; (c) the filing of any Borrower or an ERISA Affiliate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or in critical status or in reorganization, within the meaning of Title IV of ERISA. </w:t>
      </w:r>
    </w:p>
    <w:p>
      <w:pPr>
        <w:pStyle w:val="TextBody"/>
        <w:bidi w:val="0"/>
        <w:spacing w:before="12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Section 7.01. </w:t>
      </w:r>
    </w:p>
    <w:p>
      <w:pPr>
        <w:pStyle w:val="TextBody"/>
        <w:bidi w:val="0"/>
        <w:spacing w:before="120" w:after="0"/>
        <w:jc w:val="left"/>
        <w:rPr/>
      </w:pPr>
      <w:r>
        <w:rPr/>
        <w:t>“</w:t>
      </w:r>
      <w:r>
        <w:rPr>
          <w:rFonts w:ascii="Times New Roman" w:hAnsi="Times New Roman"/>
          <w:sz w:val="20"/>
          <w:u w:val="single"/>
        </w:rPr>
        <w:t>Exchange Rate</w:t>
      </w:r>
      <w:r>
        <w:rPr>
          <w:rFonts w:ascii="Times New Roman" w:hAnsi="Times New Roman"/>
          <w:sz w:val="20"/>
        </w:rPr>
        <w:t xml:space="preserve">” means, for any Alternative Currency, the rate of exchange therefor as described in clause (b) of the definition of “Dollar Equivalent”. </w:t>
      </w:r>
    </w:p>
    <w:p>
      <w:pPr>
        <w:pStyle w:val="TextBody"/>
        <w:bidi w:val="0"/>
        <w:spacing w:before="120" w:after="0"/>
        <w:jc w:val="left"/>
        <w:rPr/>
      </w:pPr>
      <w:r>
        <w:rPr/>
        <w:t>“</w:t>
      </w:r>
      <w:r>
        <w:rPr>
          <w:rFonts w:ascii="Times New Roman" w:hAnsi="Times New Roman"/>
          <w:sz w:val="20"/>
          <w:u w:val="single"/>
        </w:rPr>
        <w:t>Excluded Property</w:t>
      </w:r>
      <w:r>
        <w:rPr>
          <w:rFonts w:ascii="Times New Roman" w:hAnsi="Times New Roman"/>
          <w:sz w:val="20"/>
        </w:rPr>
        <w:t xml:space="preserve">” has the meaning assigned to such term in the applicable Security Agreement, as the context requires. </w:t>
      </w:r>
    </w:p>
    <w:p>
      <w:pPr>
        <w:pStyle w:val="TextBody"/>
        <w:bidi w:val="0"/>
        <w:spacing w:before="12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12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(d) any withholding Taxes imposed under FATCA, and (e) Taxes payable under Part XIII of the ITA that are imposed on amounts paid or credited to or for the account of the applicable Recipient as a result of such Recipient (i) not dealing at arm’s length (within the meaning of the ITA) with any Loan Party, or (ii) being a “specified shareholder” (as defined in subsection 18(5) of the ITA) of any Loan Party or not dealing at arm’s length with such a specified shareholder for purposes of the ITA, except that neither the Administrative Agent nor any Lender (as the case may be) shall be considered to be dealing at non-arm’s length or be a specified shareholder or a Person not dealing at arm’s length with a specified shareholder, solely as a result of such Person having entered into, received or perfected a security interest under or enforced this Agreement or any other Loan Document or holding or possessing any Collateral, including any equity interests. </w:t>
      </w:r>
    </w:p>
    <w:p>
      <w:pPr>
        <w:pStyle w:val="TextBody"/>
        <w:bidi w:val="0"/>
        <w:spacing w:before="120" w:after="0"/>
        <w:jc w:val="left"/>
        <w:rPr/>
      </w:pPr>
      <w:r>
        <w:rPr/>
        <w:t>“</w:t>
      </w:r>
      <w:r>
        <w:rPr>
          <w:rFonts w:ascii="Times New Roman" w:hAnsi="Times New Roman"/>
          <w:sz w:val="20"/>
          <w:u w:val="single"/>
        </w:rPr>
        <w:t>Existing Credit Agreement</w:t>
      </w:r>
      <w:r>
        <w:rPr>
          <w:rFonts w:ascii="Times New Roman" w:hAnsi="Times New Roman"/>
          <w:sz w:val="20"/>
        </w:rPr>
        <w:t xml:space="preserve">” has the meaning assigned to such term in the recitals hereto. </w:t>
      </w:r>
    </w:p>
    <w:p>
      <w:pPr>
        <w:pStyle w:val="TextBody"/>
        <w:bidi w:val="0"/>
        <w:spacing w:before="120" w:after="0"/>
        <w:jc w:val="left"/>
        <w:rPr/>
      </w:pPr>
      <w:r>
        <w:rPr/>
        <w:t>“</w:t>
      </w:r>
      <w:r>
        <w:rPr>
          <w:rFonts w:ascii="Times New Roman" w:hAnsi="Times New Roman"/>
          <w:sz w:val="20"/>
          <w:u w:val="single"/>
        </w:rPr>
        <w:t>Existing Letters of Credit</w:t>
      </w:r>
      <w:r>
        <w:rPr>
          <w:rFonts w:ascii="Times New Roman" w:hAnsi="Times New Roman"/>
          <w:sz w:val="20"/>
        </w:rPr>
        <w:t xml:space="preserve">” means the Letters of Credit set forth on Schedule 1.01 hereto. </w:t>
      </w:r>
    </w:p>
    <w:p>
      <w:pPr>
        <w:pStyle w:val="TextBody"/>
        <w:bidi w:val="0"/>
        <w:spacing w:before="12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1471(b)(1) of the Code, any applicable intergovernmental agreement entered into between the United States and any other Governmental Authority in connection with the implementation of the foregoing and any fiscal or regulatory legislation, rules or practices adopted pursuant to any such intergovernmental agreement, treaty or convention among Governmental Authorities and implementing the foregoing. </w:t>
      </w:r>
    </w:p>
    <w:p>
      <w:pPr>
        <w:pStyle w:val="TextBody"/>
        <w:bidi w:val="0"/>
        <w:spacing w:before="12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 </w:t>
      </w:r>
    </w:p>
    <w:p>
      <w:pPr>
        <w:pStyle w:val="TextBody"/>
        <w:bidi w:val="0"/>
        <w:spacing w:before="12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of America.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First Amendment Date” means July 15, 2026.</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First Amendment Date Sponsor Model” has the meaning assigned to it in clause (xxiii) of the definition of the term “EBITDA”.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First Lien Net Leverage Ratio</w:t>
      </w:r>
      <w:r>
        <w:rPr>
          <w:rFonts w:ascii="Times New Roman" w:hAnsi="Times New Roman"/>
          <w:sz w:val="20"/>
        </w:rPr>
        <w:t xml:space="preserve">” means, on any date, the ratio of (a)(i) Total Indebtedness that is secured by a Lien on the assets of the Loan Parties in favor of the Administrative Agent securing the Secured Obligations and (ii) Total Indebtedness secured by a Lien on the assets of the Loan Parties that ranks on an equal priority basis with Liens on the Collateral securing the Obligations, in each case on such date </w:t>
      </w:r>
      <w:r>
        <w:rPr>
          <w:rFonts w:ascii="Times New Roman" w:hAnsi="Times New Roman"/>
          <w:i/>
          <w:sz w:val="20"/>
          <w:u w:val="single"/>
        </w:rPr>
        <w:t>minus</w:t>
      </w:r>
      <w:r>
        <w:rPr>
          <w:rFonts w:ascii="Times New Roman" w:hAnsi="Times New Roman"/>
          <w:sz w:val="20"/>
        </w:rPr>
        <w:t xml:space="preserve"> Unrestricted Cash as of such date in an amount not to exceed </w:t>
      </w:r>
      <w:r>
        <w:rPr>
          <w:rFonts w:ascii="Times New Roman" w:hAnsi="Times New Roman"/>
          <w:strike/>
          <w:color w:val="FF0000"/>
          <w:sz w:val="20"/>
        </w:rPr>
        <w:t>$100,000,000</w:t>
      </w:r>
      <w:r>
        <w:rPr>
          <w:rFonts w:ascii="Times New Roman" w:hAnsi="Times New Roman"/>
          <w:color w:val="0000FF"/>
          <w:sz w:val="20"/>
          <w:u w:val="single"/>
          <w:bdr w:val="double" w:sz="2" w:space="1" w:color="000000"/>
        </w:rPr>
        <w:t>(x) at any time on or prior to the date that is six (6) months after the First Amendment Date, $300,000,000 and (y) at any time thereafter, $200,000,000</w:t>
      </w:r>
      <w:r>
        <w:rPr>
          <w:rFonts w:ascii="Times New Roman" w:hAnsi="Times New Roman"/>
          <w:sz w:val="20"/>
        </w:rPr>
        <w:t xml:space="preserve"> to (b) EBITDA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on or prior to such date. Operating leases that are reflected on the consolidated balance sheet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excluded for purposes of calculating the First Lien Net Leverage Ratio. </w:t>
      </w:r>
    </w:p>
    <w:p>
      <w:pPr>
        <w:pStyle w:val="TextBody"/>
        <w:bidi w:val="0"/>
        <w:spacing w:before="12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or controller of a Borrower.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Fixed Basket” has the meaning assigned to such term in Section 1.06(b)(i).</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Fixtures</w:t>
      </w:r>
      <w:r>
        <w:rPr>
          <w:rFonts w:ascii="Times New Roman" w:hAnsi="Times New Roman"/>
          <w:sz w:val="20"/>
        </w:rPr>
        <w:t xml:space="preserve">” has the meaning assigned to such term in the Security Agreements. </w:t>
      </w:r>
    </w:p>
    <w:p>
      <w:pPr>
        <w:pStyle w:val="TextBody"/>
        <w:bidi w:val="0"/>
        <w:spacing w:before="120" w:after="0"/>
        <w:jc w:val="left"/>
        <w:rPr/>
      </w:pPr>
      <w:r>
        <w:rPr/>
        <w:t>“</w:t>
      </w:r>
      <w:r>
        <w:rPr>
          <w:rFonts w:ascii="Times New Roman" w:hAnsi="Times New Roman"/>
          <w:sz w:val="20"/>
          <w:u w:val="single"/>
        </w:rPr>
        <w:t>Flood Laws</w:t>
      </w:r>
      <w:r>
        <w:rPr>
          <w:rFonts w:ascii="Times New Roman" w:hAnsi="Times New Roman"/>
          <w:sz w:val="20"/>
        </w:rPr>
        <w:t xml:space="preserve">” has the meaning assigned to such term in Section 8.10. </w:t>
      </w:r>
    </w:p>
    <w:p>
      <w:pPr>
        <w:pStyle w:val="TextBody"/>
        <w:bidi w:val="0"/>
        <w:spacing w:before="120" w:after="0"/>
        <w:jc w:val="left"/>
        <w:rPr/>
      </w:pPr>
      <w:r>
        <w:rPr/>
        <w:t>“</w:t>
      </w:r>
      <w:r>
        <w:rPr>
          <w:rFonts w:ascii="Times New Roman" w:hAnsi="Times New Roman"/>
          <w:sz w:val="20"/>
          <w:u w:val="single"/>
        </w:rPr>
        <w:t>Floor</w:t>
      </w:r>
      <w:r>
        <w:rPr>
          <w:rFonts w:ascii="Times New Roman" w:hAnsi="Times New Roman"/>
          <w:sz w:val="20"/>
        </w:rPr>
        <w:t xml:space="preserve">” means the benchmark rate floor, if any, provided in this Agreement (as of the execution of this Agreement, the modification, amendment or renewal of this Agreement or otherwise) with respect to the Adjusted Term CORRA Rate, Adjusted Term SOFR Rate, the Adjusted Daily Simple SOFR, Adjusted Daily Simple CORRA or the Canadian Prime Rate, as applicable. For the avoidance of doubt, the initial Floor for each of the Adjusted Term CORRA Rate, Adjusted Term SOFR Rate, the Adjusted Daily Simple SOFR, Adjusted Daily Simple CORRA and the Canadian Prime Rate shall be zero. </w:t>
      </w:r>
    </w:p>
    <w:p>
      <w:pPr>
        <w:pStyle w:val="TextBody"/>
        <w:bidi w:val="0"/>
        <w:spacing w:before="120" w:after="0"/>
        <w:jc w:val="left"/>
        <w:rPr/>
      </w:pPr>
      <w:r>
        <w:rPr/>
        <w:t>“</w:t>
      </w:r>
      <w:r>
        <w:rPr>
          <w:rFonts w:ascii="Times New Roman" w:hAnsi="Times New Roman"/>
          <w:sz w:val="20"/>
          <w:u w:val="single"/>
        </w:rPr>
        <w:t>Foreign Lender</w:t>
      </w:r>
      <w:r>
        <w:rPr>
          <w:rFonts w:ascii="Times New Roman" w:hAnsi="Times New Roman"/>
          <w:sz w:val="20"/>
        </w:rPr>
        <w:t xml:space="preserve">” means a Lender that is not a U.S. Person. </w:t>
      </w:r>
    </w:p>
    <w:p>
      <w:pPr>
        <w:pStyle w:val="TextBody"/>
        <w:bidi w:val="0"/>
        <w:spacing w:before="120" w:after="0"/>
        <w:jc w:val="left"/>
        <w:rPr/>
      </w:pPr>
      <w:r>
        <w:rPr/>
        <w:t>“</w:t>
      </w:r>
      <w:r>
        <w:rPr>
          <w:rFonts w:ascii="Times New Roman" w:hAnsi="Times New Roman"/>
          <w:sz w:val="20"/>
          <w:u w:val="single"/>
        </w:rPr>
        <w:t>Foreign Subsidiary</w:t>
      </w:r>
      <w:r>
        <w:rPr>
          <w:rFonts w:ascii="Times New Roman" w:hAnsi="Times New Roman"/>
          <w:sz w:val="20"/>
        </w:rPr>
        <w:t xml:space="preserve">” means any Restricted Subsidiary which is not a U.S.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Fully Funded” means (a) the issuance of High Yield Notes in an aggregate principal amount equal to or in excess of $450,000,000 and (b) the application of the Net Proceeds of such issuance in mandatory prepayment of the Term Loans pursuant to Section 2.11(c).</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Funding Account</w:t>
      </w:r>
      <w:r>
        <w:rPr>
          <w:rFonts w:ascii="Times New Roman" w:hAnsi="Times New Roman"/>
          <w:sz w:val="20"/>
        </w:rPr>
        <w:t xml:space="preserve">” has the meaning assigned to such term in Section 4.01(f). </w:t>
      </w:r>
    </w:p>
    <w:p>
      <w:pPr>
        <w:pStyle w:val="TextBody"/>
        <w:bidi w:val="0"/>
        <w:spacing w:before="12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U.S., in respect of the U.S. Loan Parties, and in Canada, in respect of the Canadian Loan Parties. </w:t>
      </w:r>
    </w:p>
    <w:p>
      <w:pPr>
        <w:pStyle w:val="TextBody"/>
        <w:bidi w:val="0"/>
        <w:spacing w:before="120" w:after="0"/>
        <w:jc w:val="left"/>
        <w:rPr/>
      </w:pPr>
      <w:r>
        <w:rPr/>
        <w:t>“</w:t>
      </w:r>
      <w:r>
        <w:rPr>
          <w:rFonts w:ascii="Times New Roman" w:hAnsi="Times New Roman"/>
          <w:sz w:val="20"/>
          <w:u w:val="single"/>
        </w:rPr>
        <w:t>Gexpro Acquisition Agreement</w:t>
      </w:r>
      <w:r>
        <w:rPr>
          <w:rFonts w:ascii="Times New Roman" w:hAnsi="Times New Roman"/>
          <w:sz w:val="20"/>
        </w:rPr>
        <w:t xml:space="preserve">” means the Agreement and Plan of Merger, dated as of December 29, 2021, among 301 HW Opus Investors, LLC, the Company, the Gexpro Target and Gulf Sub, Inc., together with all exhibits, schedules, disclosure letters and attachments and supplements thereto, in each case, as amended or otherwise modified from time to time in accordance with this Agreement. </w:t>
      </w:r>
    </w:p>
    <w:p>
      <w:pPr>
        <w:pStyle w:val="TextBody"/>
        <w:bidi w:val="0"/>
        <w:spacing w:before="120" w:after="0"/>
        <w:jc w:val="left"/>
        <w:rPr/>
      </w:pPr>
      <w:r>
        <w:rPr/>
        <w:t>“</w:t>
      </w:r>
      <w:r>
        <w:rPr>
          <w:rFonts w:ascii="Times New Roman" w:hAnsi="Times New Roman"/>
          <w:sz w:val="20"/>
          <w:u w:val="single"/>
        </w:rPr>
        <w:t>Gexpro Holdings</w:t>
      </w:r>
      <w:r>
        <w:rPr>
          <w:rFonts w:ascii="Times New Roman" w:hAnsi="Times New Roman"/>
          <w:sz w:val="20"/>
        </w:rPr>
        <w:t xml:space="preserve">” means 301 HW Opus Holdings, Inc., a Delaware corporation. </w:t>
      </w:r>
    </w:p>
    <w:p>
      <w:pPr>
        <w:pStyle w:val="TextBody"/>
        <w:bidi w:val="0"/>
        <w:spacing w:before="120" w:after="0"/>
        <w:jc w:val="left"/>
        <w:rPr/>
      </w:pPr>
      <w:r>
        <w:rPr/>
        <w:t>“</w:t>
      </w:r>
      <w:r>
        <w:rPr>
          <w:rFonts w:ascii="Times New Roman" w:hAnsi="Times New Roman"/>
          <w:sz w:val="20"/>
          <w:u w:val="single"/>
        </w:rPr>
        <w:t>Gexpro Target</w:t>
      </w:r>
      <w:r>
        <w:rPr>
          <w:rFonts w:ascii="Times New Roman" w:hAnsi="Times New Roman"/>
          <w:sz w:val="20"/>
        </w:rPr>
        <w:t xml:space="preserve">” means Gexpro Holdings, collectively with its subsidiaries and all assets relating thereto. </w:t>
      </w:r>
    </w:p>
    <w:p>
      <w:pPr>
        <w:pStyle w:val="TextBody"/>
        <w:bidi w:val="0"/>
        <w:spacing w:before="12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Canada, the U.S., any other nation or any political subdivision thereof, whether provincial, territorial, state or local, and any agency, authority, instrumentality, regulatory body, court, central bank or other entity exercising executive, legislative, judicial, taxing, regulatory or administrative powers or functions of or pertaining to government. </w:t>
      </w:r>
    </w:p>
    <w:p>
      <w:pPr>
        <w:pStyle w:val="TextBody"/>
        <w:bidi w:val="0"/>
        <w:spacing w:before="12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w:t>
      </w:r>
    </w:p>
    <w:p>
      <w:pPr>
        <w:pStyle w:val="TextBody"/>
        <w:bidi w:val="0"/>
        <w:spacing w:before="120" w:after="0"/>
        <w:jc w:val="left"/>
        <w:rPr/>
      </w:pPr>
      <w:r>
        <w:rPr/>
        <w:t>“</w:t>
      </w:r>
      <w:r>
        <w:rPr>
          <w:rFonts w:ascii="Times New Roman" w:hAnsi="Times New Roman"/>
          <w:sz w:val="20"/>
          <w:u w:val="single"/>
        </w:rPr>
        <w:t>Guaranteed Obligations</w:t>
      </w:r>
      <w:r>
        <w:rPr>
          <w:rFonts w:ascii="Times New Roman" w:hAnsi="Times New Roman"/>
          <w:sz w:val="20"/>
        </w:rPr>
        <w:t xml:space="preserve">” means, collectively, the U.S. Guaranteed Obligations and the Canadian Guaranteed Obligations. </w:t>
      </w:r>
    </w:p>
    <w:p>
      <w:pPr>
        <w:pStyle w:val="TextBody"/>
        <w:bidi w:val="0"/>
        <w:spacing w:before="120" w:after="0"/>
        <w:jc w:val="left"/>
        <w:rPr/>
      </w:pPr>
      <w:r>
        <w:rPr/>
        <w:t>“</w:t>
      </w:r>
      <w:r>
        <w:rPr>
          <w:rFonts w:ascii="Times New Roman" w:hAnsi="Times New Roman"/>
          <w:sz w:val="20"/>
          <w:u w:val="single"/>
        </w:rPr>
        <w:t>Guarantors</w:t>
      </w:r>
      <w:r>
        <w:rPr>
          <w:rFonts w:ascii="Times New Roman" w:hAnsi="Times New Roman"/>
          <w:sz w:val="20"/>
        </w:rPr>
        <w:t xml:space="preserve">” means all Loan Guarantors, and the term “Guarantor” means each or any one of them individually. </w:t>
      </w:r>
    </w:p>
    <w:p>
      <w:pPr>
        <w:pStyle w:val="TextBody"/>
        <w:bidi w:val="0"/>
        <w:spacing w:before="120" w:after="0"/>
        <w:jc w:val="left"/>
        <w:rPr/>
      </w:pPr>
      <w:r>
        <w:rPr/>
        <w:t>“</w:t>
      </w:r>
      <w:r>
        <w:rPr>
          <w:rFonts w:ascii="Times New Roman" w:hAnsi="Times New Roman"/>
          <w:sz w:val="20"/>
          <w:u w:val="single"/>
        </w:rPr>
        <w:t>Hazardous Materials</w:t>
      </w:r>
      <w:r>
        <w:rPr>
          <w:rFonts w:ascii="Times New Roman" w:hAnsi="Times New Roman"/>
          <w:sz w:val="20"/>
        </w:rPr>
        <w:t xml:space="preserve">”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agency) (40 C.F.R. Part 302 and amendments thereto); and (c) any substance, material, or waste that is petroleum, petroleum-related, or a petroleum by-product, asbestos or asbestos-containing material, polychlorinated biphenyls, per- or polyfluoroalkyl substances, flammable, explosive, radioactive, freon gas, radon, or a pesticide, herbicide, or any other agricultural chemical.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High Yield Notes” means senior unsecured notes to be issued by Merger Sub in connection with the Take-Private Transaction.</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HISCO</w:t>
      </w:r>
      <w:r>
        <w:rPr>
          <w:rFonts w:ascii="Times New Roman" w:hAnsi="Times New Roman"/>
          <w:sz w:val="20"/>
        </w:rPr>
        <w:t xml:space="preserve">” means HIS Company, Inc., a Texas corporation. </w:t>
      </w:r>
    </w:p>
    <w:p>
      <w:pPr>
        <w:pStyle w:val="TextBody"/>
        <w:bidi w:val="0"/>
        <w:spacing w:before="120" w:after="0"/>
        <w:jc w:val="left"/>
        <w:rPr/>
      </w:pPr>
      <w:r>
        <w:rPr/>
        <w:t>“</w:t>
      </w:r>
      <w:r>
        <w:rPr>
          <w:rFonts w:ascii="Times New Roman" w:hAnsi="Times New Roman"/>
          <w:sz w:val="20"/>
          <w:u w:val="single"/>
        </w:rPr>
        <w:t>HISCO Acquisition</w:t>
      </w:r>
      <w:r>
        <w:rPr>
          <w:rFonts w:ascii="Times New Roman" w:hAnsi="Times New Roman"/>
          <w:sz w:val="20"/>
        </w:rPr>
        <w:t xml:space="preserve">” means the acquisition by the Company, directly or indirectly, of all of the outstanding Equity Interests of HISCO, pursuant to the HISCO Acquisition Agreement. </w:t>
      </w:r>
    </w:p>
    <w:p>
      <w:pPr>
        <w:pStyle w:val="TextBody"/>
        <w:bidi w:val="0"/>
        <w:spacing w:before="120" w:after="0"/>
        <w:jc w:val="left"/>
        <w:rPr/>
      </w:pPr>
      <w:r>
        <w:rPr/>
        <w:t>“</w:t>
      </w:r>
      <w:r>
        <w:rPr>
          <w:rFonts w:ascii="Times New Roman" w:hAnsi="Times New Roman"/>
          <w:sz w:val="20"/>
          <w:u w:val="single"/>
        </w:rPr>
        <w:t>HISCO Acquisition Agreement</w:t>
      </w:r>
      <w:r>
        <w:rPr>
          <w:rFonts w:ascii="Times New Roman" w:hAnsi="Times New Roman"/>
          <w:sz w:val="20"/>
        </w:rPr>
        <w:t xml:space="preserve">” means that certain Stock Purchase Agreement, dated as of March 30, 2023 (as amended, restated, amended and restated or otherwise modified from time to time to the extent permitted hereunder), among the Company, as the buyer, and GreatBanc Trust Company, not in its corporate capacity, but solely in its capacity as trustee of the HIS Company, Inc. Employee Stock Ownership Trust, which is maintained pursuant to and in connection with the HIS Company, Inc. Employee Stock Ownership Plan.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HoldCo” has the meaning assigned to such term in the definition of the term “Take-Private Transaction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Incremental Facility Amendment</w:t>
      </w:r>
      <w:r>
        <w:rPr>
          <w:rFonts w:ascii="Times New Roman" w:hAnsi="Times New Roman"/>
          <w:sz w:val="20"/>
        </w:rPr>
        <w:t xml:space="preserve">” has the meaning assigned to such term in Section 2.09. </w:t>
      </w:r>
    </w:p>
    <w:p>
      <w:pPr>
        <w:pStyle w:val="TextBody"/>
        <w:bidi w:val="0"/>
        <w:spacing w:before="120" w:after="0"/>
        <w:jc w:val="left"/>
        <w:rPr/>
      </w:pPr>
      <w:r>
        <w:rPr/>
        <w:t>“</w:t>
      </w:r>
      <w:r>
        <w:rPr>
          <w:rFonts w:ascii="Times New Roman" w:hAnsi="Times New Roman"/>
          <w:sz w:val="20"/>
          <w:u w:val="single"/>
        </w:rPr>
        <w:t>Incremental Term Loan</w:t>
      </w:r>
      <w:r>
        <w:rPr>
          <w:rFonts w:ascii="Times New Roman" w:hAnsi="Times New Roman"/>
          <w:sz w:val="20"/>
        </w:rPr>
        <w:t xml:space="preserve">” has the meaning assigned to such term in Section 2.09. </w:t>
      </w:r>
    </w:p>
    <w:p>
      <w:pPr>
        <w:pStyle w:val="TextBody"/>
        <w:bidi w:val="0"/>
        <w:spacing w:before="120" w:after="0"/>
        <w:jc w:val="left"/>
        <w:rPr/>
      </w:pPr>
      <w:r>
        <w:rPr/>
        <w:t>“</w:t>
      </w:r>
      <w:r>
        <w:rPr>
          <w:rFonts w:ascii="Times New Roman" w:hAnsi="Times New Roman"/>
          <w:sz w:val="20"/>
          <w:u w:val="single"/>
        </w:rPr>
        <w:t>Indebtedness</w:t>
      </w:r>
      <w:r>
        <w:rPr>
          <w:rFonts w:ascii="Times New Roman" w:hAnsi="Times New Roman"/>
          <w:sz w:val="20"/>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earn-out payments and other deferred purchase price obligations in respect of property or services (excluding (w) trade accounts payable in the ordinary course of business, (x) any earn-out, deferred or similar obligations, in each case, except to the extent reflected as a liability on the balance sheet of such Person in accordance with GAAP and if not paid after becoming due and payable, (y) expenses accrued and (z)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(provided that, if such Person has not assumed or otherwise become liable in respect of such Indebtedness, such obligations shall be deemed to be in an amount equal to the lesser of (i) the amount of such Indebtedness and (ii) the fair market value of such property at the time of determination (in the Borrower’s good faith estimate)),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any other Off-Balance Sheet Liability, (l) Disqualified Stock of such Person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such entity, except to the extent the terms of such Indebtedness provide that such Person is not liable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the foregoing clause (a), Other Taxes. </w:t>
      </w:r>
    </w:p>
    <w:p>
      <w:pPr>
        <w:pStyle w:val="TextBody"/>
        <w:bidi w:val="0"/>
        <w:spacing w:before="12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Section 9.03(b). </w:t>
      </w:r>
    </w:p>
    <w:p>
      <w:pPr>
        <w:pStyle w:val="TextBody"/>
        <w:bidi w:val="0"/>
        <w:spacing w:before="120" w:after="0"/>
        <w:jc w:val="left"/>
        <w:rPr/>
      </w:pPr>
      <w:r>
        <w:rPr/>
        <w:t>“</w:t>
      </w:r>
      <w:r>
        <w:rPr>
          <w:rFonts w:ascii="Times New Roman" w:hAnsi="Times New Roman"/>
          <w:sz w:val="20"/>
          <w:u w:val="single"/>
        </w:rPr>
        <w:t>Ineligible Institution</w:t>
      </w:r>
      <w:r>
        <w:rPr>
          <w:rFonts w:ascii="Times New Roman" w:hAnsi="Times New Roman"/>
          <w:sz w:val="20"/>
        </w:rPr>
        <w:t xml:space="preserve">” has the meaning assigned to such term in Section 9.04(b). </w:t>
      </w:r>
    </w:p>
    <w:p>
      <w:pPr>
        <w:pStyle w:val="TextBody"/>
        <w:bidi w:val="0"/>
        <w:spacing w:before="120" w:after="0"/>
        <w:jc w:val="left"/>
        <w:rPr/>
      </w:pPr>
      <w:r>
        <w:rPr/>
        <w:t>“</w:t>
      </w:r>
      <w:r>
        <w:rPr>
          <w:rFonts w:ascii="Times New Roman" w:hAnsi="Times New Roman"/>
          <w:sz w:val="20"/>
          <w:u w:val="single"/>
        </w:rPr>
        <w:t>Information</w:t>
      </w:r>
      <w:r>
        <w:rPr>
          <w:rFonts w:ascii="Times New Roman" w:hAnsi="Times New Roman"/>
          <w:sz w:val="20"/>
        </w:rPr>
        <w:t xml:space="preserve">” has the meaning assigned to such term in Section 9.12. </w:t>
      </w:r>
    </w:p>
    <w:p>
      <w:pPr>
        <w:pStyle w:val="TextBody"/>
        <w:bidi w:val="0"/>
        <w:spacing w:before="120" w:after="0"/>
        <w:jc w:val="left"/>
        <w:rPr/>
      </w:pPr>
      <w:r>
        <w:rPr/>
        <w:t>“</w:t>
      </w:r>
      <w:r>
        <w:rPr>
          <w:rFonts w:ascii="Times New Roman" w:hAnsi="Times New Roman"/>
          <w:sz w:val="20"/>
          <w:u w:val="single"/>
        </w:rPr>
        <w:t>Initial Term Lender</w:t>
      </w:r>
      <w:r>
        <w:rPr>
          <w:rFonts w:ascii="Times New Roman" w:hAnsi="Times New Roman"/>
          <w:sz w:val="20"/>
        </w:rPr>
        <w:t xml:space="preserve">” means a Lender having an Initial Term Loan Commitment or holding an outstanding Initial Term Loan. </w:t>
      </w:r>
    </w:p>
    <w:p>
      <w:pPr>
        <w:pStyle w:val="TextBody"/>
        <w:bidi w:val="0"/>
        <w:spacing w:before="120" w:after="0"/>
        <w:jc w:val="left"/>
        <w:rPr/>
      </w:pPr>
      <w:r>
        <w:rPr/>
        <w:t>“</w:t>
      </w:r>
      <w:r>
        <w:rPr>
          <w:rFonts w:ascii="Times New Roman" w:hAnsi="Times New Roman"/>
          <w:sz w:val="20"/>
          <w:u w:val="single"/>
        </w:rPr>
        <w:t>Initial Term Loan</w:t>
      </w:r>
      <w:r>
        <w:rPr>
          <w:rFonts w:ascii="Times New Roman" w:hAnsi="Times New Roman"/>
          <w:sz w:val="20"/>
        </w:rPr>
        <w:t xml:space="preserve">” means a Loan made pursuant to Section 2.01(b). </w:t>
      </w:r>
    </w:p>
    <w:p>
      <w:pPr>
        <w:pStyle w:val="TextBody"/>
        <w:bidi w:val="0"/>
        <w:spacing w:before="120" w:after="0"/>
        <w:jc w:val="left"/>
        <w:rPr/>
      </w:pPr>
      <w:r>
        <w:rPr/>
        <w:t>“</w:t>
      </w:r>
      <w:r>
        <w:rPr>
          <w:rFonts w:ascii="Times New Roman" w:hAnsi="Times New Roman"/>
          <w:sz w:val="20"/>
          <w:u w:val="single"/>
        </w:rPr>
        <w:t>Initial Term Loan Commitment</w:t>
      </w:r>
      <w:r>
        <w:rPr>
          <w:rFonts w:ascii="Times New Roman" w:hAnsi="Times New Roman"/>
          <w:sz w:val="20"/>
        </w:rPr>
        <w:t xml:space="preserve">” means, with respect to each Lender, the commitment, if any, of such Lender to re-evidence its existing Term Loans and/or make Initial Term Loans, expressed as an amount representing the maximum principal amount of the Initial Term Loans to be made by such Lender. The initial amount of each Lender’s Initial Term Loan Commitment is set forth on the </w:t>
      </w:r>
      <w:r>
        <w:rPr>
          <w:rFonts w:ascii="Times New Roman" w:hAnsi="Times New Roman"/>
          <w:sz w:val="20"/>
          <w:u w:val="single"/>
        </w:rPr>
        <w:t>Commitment Schedule</w:t>
      </w:r>
      <w:r>
        <w:rPr>
          <w:rFonts w:ascii="Times New Roman" w:hAnsi="Times New Roman"/>
          <w:sz w:val="20"/>
        </w:rPr>
        <w:t xml:space="preserve">. The aggregate amount of the Lenders’ Initial Term Loan Commitments on the Effective Date is $700,000,000. </w:t>
      </w:r>
    </w:p>
    <w:p>
      <w:pPr>
        <w:pStyle w:val="TextBody"/>
        <w:bidi w:val="0"/>
        <w:spacing w:before="120" w:after="0"/>
        <w:jc w:val="left"/>
        <w:rPr/>
      </w:pPr>
      <w:r>
        <w:rPr/>
        <w:t>“</w:t>
      </w:r>
      <w:r>
        <w:rPr>
          <w:rFonts w:ascii="Times New Roman" w:hAnsi="Times New Roman"/>
          <w:sz w:val="20"/>
          <w:u w:val="single"/>
        </w:rPr>
        <w:t>Initial Term Loan Maturity Date</w:t>
      </w:r>
      <w:r>
        <w:rPr>
          <w:rFonts w:ascii="Times New Roman" w:hAnsi="Times New Roman"/>
          <w:sz w:val="20"/>
        </w:rPr>
        <w:t xml:space="preserve">” means December 18, 2030 (if the same is a Business Day, or if not then the immediately next succeeding Business Day).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Inside Maturity Basket” shall mean Indebtedness in an aggregate outstanding principal amount not to exceed the greater of (x) $47,500,000 and (y) 25% of Applicable EBITDA of the Company (or, after the consummation of the Take-Private Transaction, HoldCo) and the Restricted Subsidiaries for the most recently ended period of four consecutive fiscal quarters of the Company (or, after the consummation of the Take-Private Transaction, HoldCo) (calculated on a pro forma basis).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Insolvency Laws</w:t>
      </w:r>
      <w:r>
        <w:rPr>
          <w:rFonts w:ascii="Times New Roman" w:hAnsi="Times New Roman"/>
          <w:sz w:val="20"/>
        </w:rPr>
        <w:t xml:space="preserve">” means each of the Bankruptcy Code, the Bankruptcy and Insolvency Act (Canada), the Companies’ Creditors Arrangement Act (Canada) and the Winding-Up and Restructuring Act (Canada), in each case as amended, and any other applicable state, provincial, territorial, foreign or federal bankruptcy laws, each as now and hereafter in effect, any successors to such statutes and any other applicable insolvency or other similar law of any jurisdiction, including any corporate law of any jurisdiction permitting a debtor to obtain a stay or a compromise of the claims of its creditors against it or providing for arrangements and including any rules and regulations pursuant thereto. </w:t>
      </w:r>
    </w:p>
    <w:p>
      <w:pPr>
        <w:pStyle w:val="TextBody"/>
        <w:bidi w:val="0"/>
        <w:spacing w:before="120" w:after="0"/>
        <w:jc w:val="left"/>
        <w:rPr/>
      </w:pPr>
      <w:r>
        <w:rPr/>
        <w:t>“</w:t>
      </w:r>
      <w:r>
        <w:rPr>
          <w:rFonts w:ascii="Times New Roman" w:hAnsi="Times New Roman"/>
          <w:sz w:val="20"/>
          <w:u w:val="single"/>
        </w:rPr>
        <w:t>Interest Coverage Ratio</w:t>
      </w:r>
      <w:r>
        <w:rPr>
          <w:rFonts w:ascii="Times New Roman" w:hAnsi="Times New Roman"/>
          <w:sz w:val="20"/>
        </w:rPr>
        <w:t>” means, for any period of four consecutive fiscal quarters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the ratio of (a) EBITDA for such period to (b) Consolidated Interest Expense for such period. </w:t>
      </w:r>
    </w:p>
    <w:p>
      <w:pPr>
        <w:pStyle w:val="TextBody"/>
        <w:bidi w:val="0"/>
        <w:spacing w:before="12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Borrower Representative to convert or continue a Revolving Borrowing in accordance with Section 2.08, which shall be substantially in the form approved by the Administrative Agent and separately provided to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Expense</w:t>
      </w:r>
      <w:r>
        <w:rPr>
          <w:rFonts w:ascii="Times New Roman" w:hAnsi="Times New Roman"/>
          <w:sz w:val="20"/>
        </w:rPr>
        <w:t xml:space="preserve">” means, with reference to any period, total interest expense (including that attributable to Capital Lease Obligations)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for such period with respect to all outstanding indebtedness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all calculated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for such period in accordance with GAAP. </w:t>
      </w:r>
    </w:p>
    <w:p>
      <w:pPr>
        <w:pStyle w:val="TextBody"/>
        <w:bidi w:val="0"/>
        <w:spacing w:before="12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(other than a Swingline Loan) or any Canadian Prime Rate Loan, the first Business Day of each calendar quarter and the applicable Maturity Date, (b) with respect to any RFR Loan, each date that is on the numerically corresponding day in each calendar month that is one month after the Borrowing of such Loan (or, if there is no such numerically corresponding day in such month, then the last day of such month) and the applicable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applicable Maturity Date, and (d) with respect to any Swingline Loan, the day that such Loan is required to be repaid and the Revolving Credit Maturity Date. </w:t>
      </w:r>
    </w:p>
    <w:p>
      <w:pPr>
        <w:pStyle w:val="TextBody"/>
        <w:bidi w:val="0"/>
        <w:spacing w:before="120" w:after="0"/>
        <w:jc w:val="left"/>
        <w:rPr/>
      </w:pPr>
      <w:r>
        <w:rPr/>
        <w:t>“</w:t>
      </w:r>
      <w:r>
        <w:rPr>
          <w:rFonts w:ascii="Times New Roman" w:hAnsi="Times New Roman"/>
          <w:sz w:val="20"/>
          <w:u w:val="single"/>
        </w:rPr>
        <w:t>Interest Period</w:t>
      </w:r>
      <w:r>
        <w:rPr>
          <w:rFonts w:ascii="Times New Roman" w:hAnsi="Times New Roman"/>
          <w:sz w:val="20"/>
        </w:rPr>
        <w:t xml:space="preserve">” means (a) with respect to any Term Benchmark Borrowing denominated in Dollars, the period commencing on the date of such Term Benchmark Borrowing and ending on the numerically corresponding day in the calendar month that is one, three or six months thereafter (in each case, subject to the availability for the Benchmark applicable to the relevant Loan or Commitment), as the Borrower Representative may elect and (b) with respect to any Term Benchmark Borrowing denominated in Canadian Dollars, the period commencing on the date of such Term Benchmark Borrowing and ending on the numerically corresponding day in the calendar month that is one or three months thereafter (subject to the availability for the Benchmark applicable to the relevant Loan or Commitment denominated in Canadian Dollars), as the Borrower Representative may elect; </w:t>
      </w:r>
      <w:r>
        <w:rPr>
          <w:rFonts w:ascii="Times New Roman" w:hAnsi="Times New Roman"/>
          <w:sz w:val="20"/>
          <w:u w:val="single"/>
        </w:rPr>
        <w:t>provided</w:t>
      </w:r>
      <w:r>
        <w:rPr>
          <w:rFonts w:ascii="Times New Roman" w:hAnsi="Times New Roman"/>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the applicable Borrowing Request or Interest Election Request, as the case may be. For purposes hereof, the date of a Borrowing initially shall be the date on which such Borrowing is made and thereafter, in the case of a Revolving Borrowing, shall be the effective date of the most recent conversion or continuation of such Borrowing. </w:t>
      </w:r>
    </w:p>
    <w:p>
      <w:pPr>
        <w:pStyle w:val="TextBody"/>
        <w:bidi w:val="0"/>
        <w:spacing w:before="12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120" w:after="0"/>
        <w:jc w:val="left"/>
        <w:rPr/>
      </w:pPr>
      <w:r>
        <w:rPr/>
        <w:t>“</w:t>
      </w:r>
      <w:r>
        <w:rPr>
          <w:rFonts w:ascii="Times New Roman" w:hAnsi="Times New Roman"/>
          <w:sz w:val="20"/>
          <w:u w:val="single"/>
        </w:rPr>
        <w:t>Issuing Bank</w:t>
      </w:r>
      <w:r>
        <w:rPr>
          <w:rFonts w:ascii="Times New Roman" w:hAnsi="Times New Roman"/>
          <w:sz w:val="20"/>
        </w:rPr>
        <w:t xml:space="preserve">” means, individually and collectively, each of (i) JPMorgan, in its capacity as the issuer of Letters of Credit hereunder, (ii) CIBC Bank USA solely with respect to the Existing Letters of Credit that were issued by CIBC Bank USA and (iii)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 </w:t>
      </w:r>
    </w:p>
    <w:p>
      <w:pPr>
        <w:pStyle w:val="TextBody"/>
        <w:bidi w:val="0"/>
        <w:spacing w:before="120" w:after="0"/>
        <w:jc w:val="left"/>
        <w:rPr/>
      </w:pPr>
      <w:r>
        <w:rPr/>
        <w:t>“</w:t>
      </w:r>
      <w:r>
        <w:rPr>
          <w:rFonts w:ascii="Times New Roman" w:hAnsi="Times New Roman"/>
          <w:sz w:val="20"/>
          <w:u w:val="single"/>
        </w:rPr>
        <w:t>Issuing Bank Sublimit</w:t>
      </w:r>
      <w:r>
        <w:rPr>
          <w:rFonts w:ascii="Times New Roman" w:hAnsi="Times New Roman"/>
          <w:sz w:val="20"/>
        </w:rPr>
        <w:t xml:space="preserve">” means, as of the Effective Date, (i) $25,000,000, in the case of JPMorgan and (ii) in the case of any other Issuing Bank,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Borrowers. </w:t>
      </w:r>
    </w:p>
    <w:p>
      <w:pPr>
        <w:pStyle w:val="TextBody"/>
        <w:bidi w:val="0"/>
        <w:spacing w:before="120" w:after="0"/>
        <w:jc w:val="left"/>
        <w:rPr/>
      </w:pPr>
      <w:r>
        <w:rPr/>
        <w:t>“</w:t>
      </w:r>
      <w:r>
        <w:rPr>
          <w:rFonts w:ascii="Times New Roman" w:hAnsi="Times New Roman"/>
          <w:sz w:val="20"/>
          <w:u w:val="single"/>
        </w:rPr>
        <w:t>ITA</w:t>
      </w:r>
      <w:r>
        <w:rPr>
          <w:rFonts w:ascii="Times New Roman" w:hAnsi="Times New Roman"/>
          <w:sz w:val="20"/>
        </w:rPr>
        <w:t xml:space="preserve">” means the </w:t>
      </w:r>
      <w:r>
        <w:rPr>
          <w:rFonts w:ascii="Times New Roman" w:hAnsi="Times New Roman"/>
          <w:i/>
          <w:sz w:val="20"/>
        </w:rPr>
        <w:t>Income Tax Act</w:t>
      </w:r>
      <w:r>
        <w:rPr>
          <w:rFonts w:ascii="Times New Roman" w:hAnsi="Times New Roman"/>
          <w:sz w:val="20"/>
        </w:rPr>
        <w:t xml:space="preserve"> (Canada), as amended. </w:t>
      </w:r>
    </w:p>
    <w:p>
      <w:pPr>
        <w:pStyle w:val="TextBody"/>
        <w:bidi w:val="0"/>
        <w:spacing w:before="120" w:after="0"/>
        <w:jc w:val="left"/>
        <w:rPr/>
      </w:pPr>
      <w:r>
        <w:rPr/>
        <w:t>“</w:t>
      </w:r>
      <w:r>
        <w:rPr>
          <w:rFonts w:ascii="Times New Roman" w:hAnsi="Times New Roman"/>
          <w:sz w:val="20"/>
          <w:u w:val="single"/>
        </w:rPr>
        <w:t>Joinder Agreement</w:t>
      </w:r>
      <w:r>
        <w:rPr>
          <w:rFonts w:ascii="Times New Roman" w:hAnsi="Times New Roman"/>
          <w:sz w:val="20"/>
        </w:rPr>
        <w:t xml:space="preserve">” means a Joinder Agreement in substantially the form of </w:t>
      </w:r>
      <w:r>
        <w:rPr>
          <w:rFonts w:ascii="Times New Roman" w:hAnsi="Times New Roman"/>
          <w:sz w:val="20"/>
          <w:u w:val="single"/>
        </w:rPr>
        <w:t>Exhibit E</w:t>
      </w:r>
      <w:r>
        <w:rPr>
          <w:rFonts w:ascii="Times New Roman" w:hAnsi="Times New Roman"/>
          <w:sz w:val="20"/>
        </w:rPr>
        <w:t xml:space="preserve"> or such other form as agreed by the Administrative Agent. </w:t>
      </w:r>
    </w:p>
    <w:p>
      <w:pPr>
        <w:pStyle w:val="TextBody"/>
        <w:bidi w:val="0"/>
        <w:spacing w:before="120" w:after="0"/>
        <w:jc w:val="left"/>
        <w:rPr/>
      </w:pPr>
      <w:r>
        <w:rPr/>
        <w:t>“</w:t>
      </w:r>
      <w:r>
        <w:rPr>
          <w:rFonts w:ascii="Times New Roman" w:hAnsi="Times New Roman"/>
          <w:sz w:val="20"/>
          <w:u w:val="single"/>
        </w:rPr>
        <w:t>JPMorgan</w:t>
      </w:r>
      <w:r>
        <w:rPr>
          <w:rFonts w:ascii="Times New Roman" w:hAnsi="Times New Roman"/>
          <w:sz w:val="20"/>
        </w:rPr>
        <w:t xml:space="preserve">” means JPMorgan Chase Bank, N.A., a national banking association, in its individual capacity, and its successors. </w:t>
      </w:r>
    </w:p>
    <w:p>
      <w:pPr>
        <w:pStyle w:val="TextBody"/>
        <w:bidi w:val="0"/>
        <w:spacing w:before="120" w:after="0"/>
        <w:jc w:val="left"/>
        <w:rPr/>
      </w:pPr>
      <w:r>
        <w:rPr/>
        <w:t>“</w:t>
      </w:r>
      <w:r>
        <w:rPr>
          <w:rFonts w:ascii="Times New Roman" w:hAnsi="Times New Roman"/>
          <w:sz w:val="20"/>
          <w:u w:val="single"/>
        </w:rPr>
        <w:t>LC Collateral Account</w:t>
      </w:r>
      <w:r>
        <w:rPr>
          <w:rFonts w:ascii="Times New Roman" w:hAnsi="Times New Roman"/>
          <w:sz w:val="20"/>
        </w:rPr>
        <w:t xml:space="preserve">” has the meaning assigned to such term in Section 2.06(j). </w:t>
      </w:r>
    </w:p>
    <w:p>
      <w:pPr>
        <w:pStyle w:val="TextBody"/>
        <w:bidi w:val="0"/>
        <w:spacing w:before="120" w:after="0"/>
        <w:jc w:val="left"/>
        <w:rPr/>
      </w:pPr>
      <w:r>
        <w:rPr/>
        <w:t>“</w:t>
      </w:r>
      <w:r>
        <w:rPr>
          <w:rFonts w:ascii="Times New Roman" w:hAnsi="Times New Roman"/>
          <w:sz w:val="20"/>
          <w:u w:val="single"/>
        </w:rPr>
        <w:t>LC Disbursement</w:t>
      </w:r>
      <w:r>
        <w:rPr>
          <w:rFonts w:ascii="Times New Roman" w:hAnsi="Times New Roman"/>
          <w:sz w:val="20"/>
        </w:rPr>
        <w:t xml:space="preserve">” means any payment made by an Issuing Bank pursuant to a Letter of Credit. </w:t>
      </w:r>
    </w:p>
    <w:p>
      <w:pPr>
        <w:pStyle w:val="TextBody"/>
        <w:bidi w:val="0"/>
        <w:spacing w:before="12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(a) the aggregate undrawn Dollar Equivalent of all outstanding Letters of Credit at such time </w:t>
      </w:r>
      <w:r>
        <w:rPr>
          <w:rFonts w:ascii="Times New Roman" w:hAnsi="Times New Roman"/>
          <w:i/>
          <w:sz w:val="20"/>
          <w:u w:val="single"/>
        </w:rPr>
        <w:t>plus</w:t>
      </w:r>
      <w:r>
        <w:rPr>
          <w:rFonts w:ascii="Times New Roman" w:hAnsi="Times New Roman"/>
          <w:sz w:val="20"/>
        </w:rPr>
        <w:t xml:space="preserve"> (b) the aggregate Dollar Equivalent of all LC Disbursements relating to Letters of Credit that have not yet been reimbursed by or on behalf of the Borrowers at such time. The LC Exposure of any Revolving Lender at any time shall be its Applicable Percentage of the aggregate LC Exposure at such time. </w:t>
      </w:r>
    </w:p>
    <w:p>
      <w:pPr>
        <w:pStyle w:val="TextBody"/>
        <w:bidi w:val="0"/>
        <w:spacing w:before="120" w:after="0"/>
        <w:jc w:val="left"/>
        <w:rPr/>
      </w:pPr>
      <w:r>
        <w:rPr/>
        <w:t>“</w:t>
      </w:r>
      <w:r>
        <w:rPr>
          <w:rFonts w:ascii="Times New Roman" w:hAnsi="Times New Roman"/>
          <w:sz w:val="20"/>
          <w:u w:val="single"/>
        </w:rPr>
        <w:t>LCA Election</w:t>
      </w:r>
      <w:r>
        <w:rPr>
          <w:rFonts w:ascii="Times New Roman" w:hAnsi="Times New Roman"/>
          <w:sz w:val="20"/>
        </w:rPr>
        <w:t xml:space="preserve">” has the meaning assigned to such term in Section 1.06(b). </w:t>
      </w:r>
    </w:p>
    <w:p>
      <w:pPr>
        <w:pStyle w:val="TextBody"/>
        <w:bidi w:val="0"/>
        <w:spacing w:before="120" w:after="0"/>
        <w:jc w:val="left"/>
        <w:rPr/>
      </w:pPr>
      <w:r>
        <w:rPr/>
        <w:t>“</w:t>
      </w:r>
      <w:r>
        <w:rPr>
          <w:rFonts w:ascii="Times New Roman" w:hAnsi="Times New Roman"/>
          <w:sz w:val="20"/>
          <w:u w:val="single"/>
        </w:rPr>
        <w:t>LCA Test Date</w:t>
      </w:r>
      <w:r>
        <w:rPr>
          <w:rFonts w:ascii="Times New Roman" w:hAnsi="Times New Roman"/>
          <w:sz w:val="20"/>
        </w:rPr>
        <w:t xml:space="preserve">” has the meaning assigned to such term in Section 1.06(b). </w:t>
      </w:r>
    </w:p>
    <w:p>
      <w:pPr>
        <w:pStyle w:val="TextBody"/>
        <w:bidi w:val="0"/>
        <w:spacing w:before="120" w:after="0"/>
        <w:jc w:val="left"/>
        <w:rPr/>
      </w:pPr>
      <w:r>
        <w:rPr/>
        <w:t>“</w:t>
      </w:r>
      <w:r>
        <w:rPr>
          <w:rFonts w:ascii="Times New Roman" w:hAnsi="Times New Roman"/>
          <w:sz w:val="20"/>
          <w:u w:val="single"/>
        </w:rPr>
        <w:t>Lender-Related Person</w:t>
      </w:r>
      <w:r>
        <w:rPr>
          <w:rFonts w:ascii="Times New Roman" w:hAnsi="Times New Roman"/>
          <w:sz w:val="20"/>
        </w:rPr>
        <w:t xml:space="preserve">” has the meaning assigned to such term in Section 9.03(c). </w:t>
      </w:r>
    </w:p>
    <w:p>
      <w:pPr>
        <w:pStyle w:val="TextBody"/>
        <w:bidi w:val="0"/>
        <w:spacing w:before="120" w:after="0"/>
        <w:jc w:val="left"/>
        <w:rPr/>
      </w:pPr>
      <w:r>
        <w:rPr/>
        <w:t>“</w:t>
      </w:r>
      <w:r>
        <w:rPr>
          <w:rFonts w:ascii="Times New Roman" w:hAnsi="Times New Roman"/>
          <w:sz w:val="20"/>
          <w:u w:val="single"/>
        </w:rPr>
        <w:t>Lenders</w:t>
      </w:r>
      <w:r>
        <w:rPr>
          <w:rFonts w:ascii="Times New Roman" w:hAnsi="Times New Roman"/>
          <w:sz w:val="20"/>
        </w:rPr>
        <w:t xml:space="preserve">” means, as of any date of determination, the Persons listed on the </w:t>
      </w:r>
      <w:r>
        <w:rPr>
          <w:rFonts w:ascii="Times New Roman" w:hAnsi="Times New Roman"/>
          <w:sz w:val="20"/>
          <w:u w:val="single"/>
        </w:rPr>
        <w:t>Commitment Schedule</w:t>
      </w:r>
      <w:r>
        <w:rPr>
          <w:rFonts w:ascii="Times New Roman" w:hAnsi="Times New Roman"/>
          <w:sz w:val="20"/>
        </w:rPr>
        <w:t xml:space="preserve"> (or, if the Commitments of any Class have terminated or expired, the Persons holding Credit Exposure in respect of such Class) and any other Person that shall have become a Lender hereunder pursuant to Section 2.09 or an Assignment and Assumption or other documentation contemplated hereby, other than any such Person that ceases to be a Lender hereunder pursuant to an Assignment and Assumption or other documentation contemplated hereby. Unless the context otherwise requires, the term “Lenders” includes the Swingline Lender and the Issuing Bank. </w:t>
      </w:r>
    </w:p>
    <w:p>
      <w:pPr>
        <w:pStyle w:val="TextBody"/>
        <w:bidi w:val="0"/>
        <w:spacing w:before="120" w:after="0"/>
        <w:jc w:val="left"/>
        <w:rPr/>
      </w:pPr>
      <w:r>
        <w:rPr/>
        <w:t>“</w:t>
      </w:r>
      <w:r>
        <w:rPr>
          <w:rFonts w:ascii="Times New Roman" w:hAnsi="Times New Roman"/>
          <w:sz w:val="20"/>
          <w:u w:val="single"/>
        </w:rPr>
        <w:t>Letters of Credit</w:t>
      </w:r>
      <w:r>
        <w:rPr>
          <w:rFonts w:ascii="Times New Roman" w:hAnsi="Times New Roman"/>
          <w:sz w:val="20"/>
        </w:rPr>
        <w:t>” means the Existing Letters of Credit and the letters of credit issued pursuant to this Agreement, and the term “</w:t>
      </w:r>
      <w:r>
        <w:rPr>
          <w:rFonts w:ascii="Times New Roman" w:hAnsi="Times New Roman"/>
          <w:sz w:val="20"/>
          <w:u w:val="single"/>
        </w:rPr>
        <w:t>Letter of Credit</w:t>
      </w:r>
      <w:r>
        <w:rPr>
          <w:rFonts w:ascii="Times New Roman" w:hAnsi="Times New Roman"/>
          <w:sz w:val="20"/>
        </w:rPr>
        <w:t xml:space="preserve">” means any one of them or each of them singularly, as the context may require. </w:t>
      </w:r>
    </w:p>
    <w:p>
      <w:pPr>
        <w:pStyle w:val="TextBody"/>
        <w:bidi w:val="0"/>
        <w:spacing w:before="120" w:after="0"/>
        <w:jc w:val="left"/>
        <w:rPr/>
      </w:pPr>
      <w:r>
        <w:rPr/>
        <w:t>“</w:t>
      </w:r>
      <w:r>
        <w:rPr>
          <w:rFonts w:ascii="Times New Roman" w:hAnsi="Times New Roman"/>
          <w:sz w:val="20"/>
          <w:u w:val="single"/>
        </w:rPr>
        <w:t>Letter of Credit Agreement</w:t>
      </w:r>
      <w:r>
        <w:rPr>
          <w:rFonts w:ascii="Times New Roman" w:hAnsi="Times New Roman"/>
          <w:sz w:val="20"/>
        </w:rPr>
        <w:t xml:space="preserve">” has the meaning assigned to it in Section 2.06(b).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Liabilities</w:t>
      </w:r>
      <w:r>
        <w:rPr>
          <w:rFonts w:ascii="Times New Roman" w:hAnsi="Times New Roman"/>
          <w:sz w:val="20"/>
        </w:rPr>
        <w:t xml:space="preserve">” means any losses, claims (including intraparty claims), demands, damages or liabilities of any kind. </w:t>
      </w:r>
    </w:p>
    <w:p>
      <w:pPr>
        <w:pStyle w:val="TextBody"/>
        <w:bidi w:val="0"/>
        <w:spacing w:before="120" w:after="0"/>
        <w:jc w:val="left"/>
        <w:rPr/>
      </w:pPr>
      <w:r>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finance lease having substantially the same economic effect as any of the foregoing) relating to such asset. </w:t>
      </w:r>
    </w:p>
    <w:p>
      <w:pPr>
        <w:pStyle w:val="TextBody"/>
        <w:bidi w:val="0"/>
        <w:spacing w:before="120" w:after="0"/>
        <w:jc w:val="left"/>
        <w:rPr/>
      </w:pPr>
      <w:r>
        <w:rPr/>
        <w:t>“</w:t>
      </w:r>
      <w:r>
        <w:rPr>
          <w:rFonts w:ascii="Times New Roman" w:hAnsi="Times New Roman"/>
          <w:sz w:val="20"/>
          <w:u w:val="single"/>
        </w:rPr>
        <w:t>Limited Condition Acquisition</w:t>
      </w:r>
      <w:r>
        <w:rPr>
          <w:rFonts w:ascii="Times New Roman" w:hAnsi="Times New Roman"/>
          <w:sz w:val="20"/>
        </w:rPr>
        <w:t xml:space="preserve">” means any Permitted Acquisition that one or more of the Company or its Restricted Subsidiaries is contractually committed to consummate and the consummation of which is not conditioned on the availability of, or on obtaining, third party financing; </w:t>
      </w:r>
      <w:r>
        <w:rPr>
          <w:rFonts w:ascii="Times New Roman" w:hAnsi="Times New Roman"/>
          <w:sz w:val="20"/>
          <w:u w:val="single"/>
        </w:rPr>
        <w:t>provided</w:t>
      </w:r>
      <w:r>
        <w:rPr>
          <w:rFonts w:ascii="Times New Roman" w:hAnsi="Times New Roman"/>
          <w:sz w:val="20"/>
        </w:rPr>
        <w:t xml:space="preserve"> that such Permitted Acquisition shall occur no later than one hundred </w:t>
      </w:r>
      <w:r>
        <w:rPr>
          <w:rFonts w:ascii="Times New Roman" w:hAnsi="Times New Roman"/>
          <w:strike/>
          <w:color w:val="FF0000"/>
          <w:sz w:val="20"/>
        </w:rPr>
        <w:t>twenty</w:t>
      </w:r>
      <w:r>
        <w:rPr>
          <w:rFonts w:ascii="Times New Roman" w:hAnsi="Times New Roman"/>
          <w:color w:val="0000FF"/>
          <w:sz w:val="20"/>
          <w:u w:val="single"/>
          <w:bdr w:val="double" w:sz="2" w:space="1" w:color="000000"/>
        </w:rPr>
        <w:t>eighty</w:t>
      </w:r>
      <w:r>
        <w:rPr>
          <w:rFonts w:ascii="Times New Roman" w:hAnsi="Times New Roman"/>
          <w:sz w:val="20"/>
        </w:rPr>
        <w:t xml:space="preserve"> (</w:t>
      </w:r>
      <w:r>
        <w:rPr>
          <w:rFonts w:ascii="Times New Roman" w:hAnsi="Times New Roman"/>
          <w:strike/>
          <w:color w:val="FF0000"/>
          <w:sz w:val="20"/>
        </w:rPr>
        <w:t>120</w:t>
      </w:r>
      <w:r>
        <w:rPr>
          <w:rFonts w:ascii="Times New Roman" w:hAnsi="Times New Roman"/>
          <w:color w:val="0000FF"/>
          <w:sz w:val="20"/>
          <w:u w:val="single"/>
          <w:bdr w:val="double" w:sz="2" w:space="1" w:color="000000"/>
        </w:rPr>
        <w:t>180</w:t>
      </w:r>
      <w:r>
        <w:rPr>
          <w:rFonts w:ascii="Times New Roman" w:hAnsi="Times New Roman"/>
          <w:sz w:val="20"/>
        </w:rPr>
        <w:t xml:space="preserve">) days (plus up to sixty (60) additional days if such extension is attributable solely to the required receipt of regulatory approvals from a Governmental Authority which remain pending and have not been denied) after the execution of the definitive agreement with respect thereto. </w:t>
      </w:r>
    </w:p>
    <w:p>
      <w:pPr>
        <w:pStyle w:val="TextBody"/>
        <w:bidi w:val="0"/>
        <w:spacing w:before="120" w:after="0"/>
        <w:jc w:val="left"/>
        <w:rPr/>
      </w:pPr>
      <w:r>
        <w:rPr/>
        <w:t>“</w:t>
      </w:r>
      <w:r>
        <w:rPr>
          <w:rFonts w:ascii="Times New Roman" w:hAnsi="Times New Roman"/>
          <w:sz w:val="20"/>
          <w:u w:val="single"/>
        </w:rPr>
        <w:t>Limited Condition Acquisition Agreement</w:t>
      </w:r>
      <w:r>
        <w:rPr>
          <w:rFonts w:ascii="Times New Roman" w:hAnsi="Times New Roman"/>
          <w:sz w:val="20"/>
        </w:rPr>
        <w:t xml:space="preserve">” means the definitive agreement in respect of a Limited Condition Acquisition. </w:t>
      </w:r>
    </w:p>
    <w:p>
      <w:pPr>
        <w:pStyle w:val="TextBody"/>
        <w:bidi w:val="0"/>
        <w:spacing w:before="120" w:after="0"/>
        <w:jc w:val="left"/>
        <w:rPr/>
      </w:pPr>
      <w:r>
        <w:rPr/>
        <w:t>“</w:t>
      </w:r>
      <w:r>
        <w:rPr>
          <w:rFonts w:ascii="Times New Roman" w:hAnsi="Times New Roman"/>
          <w:sz w:val="20"/>
          <w:u w:val="single"/>
        </w:rPr>
        <w:t>Loan Documents</w:t>
      </w:r>
      <w:r>
        <w:rPr>
          <w:rFonts w:ascii="Times New Roman" w:hAnsi="Times New Roman"/>
          <w:sz w:val="20"/>
        </w:rPr>
        <w:t>” means, collectively, this Agreement, each promissory note issued pursuant to this Agreement, each Letter of Credit Agreement, each Collateral Document, the Loan Guaranty, each Applicable Intercreditor Agreement</w:t>
      </w:r>
      <w:r>
        <w:rPr>
          <w:rFonts w:ascii="Times New Roman" w:hAnsi="Times New Roman"/>
          <w:color w:val="0000FF"/>
          <w:sz w:val="20"/>
          <w:u w:val="single"/>
          <w:bdr w:val="double" w:sz="2" w:space="1" w:color="000000"/>
        </w:rPr>
        <w:t>, each Incremental Facility Amendment,</w:t>
      </w:r>
      <w:r>
        <w:rPr>
          <w:rFonts w:ascii="Times New Roman" w:hAnsi="Times New Roman"/>
          <w:sz w:val="20"/>
        </w:rPr>
        <w:t xml:space="preserve"> and each other agreement, instrument, and document executed and delivered to, or in favor of, the Administrative Agent or any Lender and including each other pledge, power of attorney, consent, assignment, contract, notice, letter of credit agreement, letter of credit applications and any agreements between the Borrower Representative and the Issuing Bank regarding the Issuing Bank’s Issuing Bank Sublimit or the respective rights and obligations between the Borrowers and the Issuing Bank in connection with the issuance of Letters of Credit, and each other written matter designated as a “</w:t>
      </w:r>
      <w:r>
        <w:rPr>
          <w:rFonts w:ascii="Times New Roman" w:hAnsi="Times New Roman"/>
          <w:sz w:val="20"/>
          <w:u w:val="single"/>
        </w:rPr>
        <w:t>Loan Document</w:t>
      </w:r>
      <w:r>
        <w:rPr>
          <w:rFonts w:ascii="Times New Roman" w:hAnsi="Times New Roman"/>
          <w:sz w:val="20"/>
        </w:rPr>
        <w:t xml:space="preserve">”.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w:t>
      </w:r>
    </w:p>
    <w:p>
      <w:pPr>
        <w:pStyle w:val="TextBody"/>
        <w:bidi w:val="0"/>
        <w:spacing w:before="120" w:after="0"/>
        <w:jc w:val="left"/>
        <w:rPr/>
      </w:pPr>
      <w:r>
        <w:rPr/>
        <w:t>“</w:t>
      </w:r>
      <w:r>
        <w:rPr>
          <w:rFonts w:ascii="Times New Roman" w:hAnsi="Times New Roman"/>
          <w:sz w:val="20"/>
          <w:u w:val="single"/>
        </w:rPr>
        <w:t>Loan Guarantor</w:t>
      </w:r>
      <w:r>
        <w:rPr>
          <w:rFonts w:ascii="Times New Roman" w:hAnsi="Times New Roman"/>
          <w:sz w:val="20"/>
        </w:rPr>
        <w:t xml:space="preserve">” means each Loan Party. </w:t>
      </w:r>
    </w:p>
    <w:p>
      <w:pPr>
        <w:pStyle w:val="TextBody"/>
        <w:bidi w:val="0"/>
        <w:spacing w:before="120" w:after="0"/>
        <w:jc w:val="left"/>
        <w:rPr/>
      </w:pPr>
      <w:r>
        <w:rPr/>
        <w:t>“</w:t>
      </w:r>
      <w:r>
        <w:rPr>
          <w:rFonts w:ascii="Times New Roman" w:hAnsi="Times New Roman"/>
          <w:sz w:val="20"/>
          <w:u w:val="single"/>
        </w:rPr>
        <w:t>Loan Guaranty</w:t>
      </w:r>
      <w:r>
        <w:rPr>
          <w:rFonts w:ascii="Times New Roman" w:hAnsi="Times New Roman"/>
          <w:sz w:val="20"/>
        </w:rPr>
        <w:t xml:space="preserve">” means </w:t>
      </w:r>
      <w:r>
        <w:rPr>
          <w:rFonts w:ascii="Times New Roman" w:hAnsi="Times New Roman"/>
          <w:sz w:val="20"/>
          <w:u w:val="single"/>
        </w:rPr>
        <w:t>Article X</w:t>
      </w:r>
      <w:r>
        <w:rPr>
          <w:rFonts w:ascii="Times New Roman" w:hAnsi="Times New Roman"/>
          <w:sz w:val="20"/>
        </w:rPr>
        <w:t xml:space="preserve"> of this Agreement. </w:t>
      </w:r>
    </w:p>
    <w:p>
      <w:pPr>
        <w:pStyle w:val="TextBody"/>
        <w:bidi w:val="0"/>
        <w:spacing w:before="120" w:after="0"/>
        <w:jc w:val="left"/>
        <w:rPr/>
      </w:pPr>
      <w:r>
        <w:rPr/>
        <w:t>“</w:t>
      </w:r>
      <w:r>
        <w:rPr>
          <w:rFonts w:ascii="Times New Roman" w:hAnsi="Times New Roman"/>
          <w:sz w:val="20"/>
          <w:u w:val="single"/>
        </w:rPr>
        <w:t>Loan Parties</w:t>
      </w:r>
      <w:r>
        <w:rPr>
          <w:rFonts w:ascii="Times New Roman" w:hAnsi="Times New Roman"/>
          <w:sz w:val="20"/>
        </w:rPr>
        <w:t xml:space="preserve">” means, individually and collectively, as the context may require, the Canadian Loan Parties and the U.S. Loan Parties. </w:t>
      </w:r>
    </w:p>
    <w:p>
      <w:pPr>
        <w:pStyle w:val="TextBody"/>
        <w:bidi w:val="0"/>
        <w:spacing w:before="120" w:after="0"/>
        <w:jc w:val="left"/>
        <w:rPr/>
      </w:pPr>
      <w:r>
        <w:rPr/>
        <w:t>“</w:t>
      </w:r>
      <w:r>
        <w:rPr>
          <w:rFonts w:ascii="Times New Roman" w:hAnsi="Times New Roman"/>
          <w:sz w:val="20"/>
          <w:u w:val="single"/>
        </w:rPr>
        <w:t>Loans</w:t>
      </w:r>
      <w:r>
        <w:rPr>
          <w:rFonts w:ascii="Times New Roman" w:hAnsi="Times New Roman"/>
          <w:sz w:val="20"/>
        </w:rPr>
        <w:t xml:space="preserve">” means the loans and advances made by the Lenders to the Borrowers pursuant to this Agreement, including Swingline Loans. </w:t>
      </w:r>
    </w:p>
    <w:p>
      <w:pPr>
        <w:pStyle w:val="TextBody"/>
        <w:bidi w:val="0"/>
        <w:spacing w:before="120" w:after="0"/>
        <w:jc w:val="left"/>
        <w:rPr/>
      </w:pPr>
      <w:r>
        <w:rPr/>
        <w:t>“</w:t>
      </w:r>
      <w:r>
        <w:rPr>
          <w:rFonts w:ascii="Times New Roman" w:hAnsi="Times New Roman"/>
          <w:sz w:val="20"/>
          <w:u w:val="single"/>
        </w:rPr>
        <w:t>Margin Stock</w:t>
      </w:r>
      <w:r>
        <w:rPr>
          <w:rFonts w:ascii="Times New Roman" w:hAnsi="Times New Roman"/>
          <w:sz w:val="20"/>
        </w:rPr>
        <w:t xml:space="preserve">” means margin stock within the meaning of Regulations T, U and X, as applicable. </w:t>
      </w:r>
    </w:p>
    <w:p>
      <w:pPr>
        <w:pStyle w:val="TextBody"/>
        <w:bidi w:val="0"/>
        <w:spacing w:before="120" w:after="0"/>
        <w:jc w:val="left"/>
        <w:rPr/>
      </w:pPr>
      <w:r>
        <w:rPr/>
        <w:t>“</w:t>
      </w:r>
      <w:r>
        <w:rPr>
          <w:rFonts w:ascii="Times New Roman" w:hAnsi="Times New Roman"/>
          <w:color w:val="0000FF"/>
          <w:sz w:val="20"/>
          <w:u w:val="single"/>
          <w:bdr w:val="double" w:sz="2" w:space="1" w:color="000000"/>
        </w:rPr>
        <w:t>Material Acquisition</w:t>
      </w:r>
      <w:r>
        <w:rPr>
          <w:rFonts w:ascii="Times New Roman" w:hAnsi="Times New Roman"/>
          <w:sz w:val="20"/>
        </w:rPr>
        <w:t xml:space="preserve">” means any </w:t>
      </w:r>
      <w:r>
        <w:rPr>
          <w:rFonts w:ascii="Times New Roman" w:hAnsi="Times New Roman"/>
          <w:strike/>
          <w:color w:val="FF0000"/>
          <w:sz w:val="20"/>
        </w:rPr>
        <w:t>acquisition consummated after the Effective Date with an aggregate total consideration in excess of $75,000,000.</w:t>
      </w:r>
      <w:r>
        <w:rPr>
          <w:rFonts w:ascii="Times New Roman" w:hAnsi="Times New Roman"/>
          <w:color w:val="0000FF"/>
          <w:sz w:val="20"/>
          <w:u w:val="single"/>
          <w:bdr w:val="double" w:sz="2" w:space="1" w:color="000000"/>
        </w:rPr>
        <w:t xml:space="preserve">(i) Acquisition or investment (or series of related Acquisitions or investments) by any </w:t>
      </w:r>
      <w:r>
        <w:rPr>
          <w:rFonts w:ascii="Times New Roman" w:hAnsi="Times New Roman"/>
          <w:color w:val="008000"/>
          <w:sz w:val="20"/>
          <w:u w:val="single"/>
          <w:bdr w:val="double" w:sz="2" w:space="1" w:color="000000"/>
        </w:rPr>
        <w:t xml:space="preserve">Borrower or any Restricted Subsidiary </w:t>
      </w:r>
      <w:r>
        <w:rPr>
          <w:rFonts w:ascii="Times New Roman" w:hAnsi="Times New Roman"/>
          <w:color w:val="0000FF"/>
          <w:sz w:val="20"/>
          <w:u w:val="single"/>
          <w:bdr w:val="double" w:sz="2" w:space="1" w:color="000000"/>
        </w:rPr>
        <w:t xml:space="preserve">of any Person or of asset or assets of another Person for which the fair market value of the consideration paid by </w:t>
      </w:r>
      <w:r>
        <w:rPr>
          <w:rFonts w:ascii="Times New Roman" w:hAnsi="Times New Roman"/>
          <w:color w:val="008000"/>
          <w:sz w:val="20"/>
          <w:u w:val="single"/>
          <w:bdr w:val="double" w:sz="2" w:space="1" w:color="000000"/>
        </w:rPr>
        <w:t xml:space="preserve">such Borrower or such Restricted Subsidiary </w:t>
      </w:r>
      <w:r>
        <w:rPr>
          <w:rFonts w:ascii="Times New Roman" w:hAnsi="Times New Roman"/>
          <w:color w:val="0000FF"/>
          <w:sz w:val="20"/>
          <w:u w:val="single"/>
          <w:bdr w:val="double" w:sz="2" w:space="1" w:color="000000"/>
        </w:rPr>
        <w:t xml:space="preserve">exceeds $75,000,000 and (ii) combination of one or more Permitted Acquisitions consummated by any </w:t>
      </w:r>
      <w:r>
        <w:rPr>
          <w:rFonts w:ascii="Times New Roman" w:hAnsi="Times New Roman"/>
          <w:color w:val="008000"/>
          <w:sz w:val="20"/>
          <w:u w:val="single"/>
          <w:bdr w:val="double" w:sz="2" w:space="1" w:color="000000"/>
        </w:rPr>
        <w:t xml:space="preserve">Borrower or any Restricted Subsidiary </w:t>
      </w:r>
      <w:r>
        <w:rPr>
          <w:rFonts w:ascii="Times New Roman" w:hAnsi="Times New Roman"/>
          <w:color w:val="0000FF"/>
          <w:sz w:val="20"/>
          <w:u w:val="single"/>
          <w:bdr w:val="double" w:sz="2" w:space="1" w:color="000000"/>
        </w:rPr>
        <w:t>in any period of two consecutive fiscal quarters of the Company (or, after the consummation of the Take-Private Transaction, HoldCo), commencing with the fiscal quarter ending September 30, 2026, for which the fair market value of the consideration paid by such Borrower or such Restricted Subsidiary exceeds $75,000,000 in the aggregate.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assets, operations or financial condition of the Borrowers and their Restricted Subsidiaries taken as a whole, (b) the ability of any Loan Party to perform any of its material Obligations, (c) the Collateral, or the Administrative Agent’s Liens (on behalf of itself and the other Secured Parties) on a material portion of the Collateral or the priority of such Liens, or (d) the rights of or benefits available to the Administrative Agent, the Issuing Bank or the Lenders under any of the Loan Documents. </w:t>
      </w:r>
    </w:p>
    <w:p>
      <w:pPr>
        <w:pStyle w:val="TextBody"/>
        <w:bidi w:val="0"/>
        <w:spacing w:before="12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(other than the Loans and Letters of Credit), or obligations in respect of one or more Swap Agreements, of any one or more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in an aggregate principal amount exceeding $50,000,000. For purposes of determining Material Indebtedness, the “principal amount” of the obligations of a Borrower or any Restricted Subsidiary in respect of any Swap Agreement at any time shall be the maximum aggregate amount (giving effect to any netting agreements) that such Borrower or such Restricted Subsidiary would be required to pay if such Swap Agreement were terminated at such time. </w:t>
      </w:r>
    </w:p>
    <w:p>
      <w:pPr>
        <w:pStyle w:val="TextBody"/>
        <w:bidi w:val="0"/>
        <w:spacing w:before="120" w:after="0"/>
        <w:jc w:val="left"/>
        <w:rPr/>
      </w:pPr>
      <w:r>
        <w:rPr/>
        <w:t>“</w:t>
      </w:r>
      <w:r>
        <w:rPr>
          <w:rFonts w:ascii="Times New Roman" w:hAnsi="Times New Roman"/>
          <w:sz w:val="20"/>
          <w:u w:val="single"/>
        </w:rPr>
        <w:t>Material Subsidiary</w:t>
      </w:r>
      <w:r>
        <w:rPr>
          <w:rFonts w:ascii="Times New Roman" w:hAnsi="Times New Roman"/>
          <w:sz w:val="20"/>
        </w:rPr>
        <w:t>” means each Restricted Subsidiary (other than non-U.S. Subsidiaries and non-Canadian Subsidiaries) (i) which, as of the most recent fiscal quarter of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contributed greater than five percent (5%) of EBITDA for such period or (ii) which contributed greater than five percent (5%) of Consolidated Total Assets as of such date; </w:t>
      </w:r>
      <w:r>
        <w:rPr>
          <w:rFonts w:ascii="Times New Roman" w:hAnsi="Times New Roman"/>
          <w:sz w:val="20"/>
          <w:u w:val="single"/>
        </w:rPr>
        <w:t>provided</w:t>
      </w:r>
      <w:r>
        <w:rPr>
          <w:rFonts w:ascii="Times New Roman" w:hAnsi="Times New Roman"/>
          <w:sz w:val="20"/>
        </w:rPr>
        <w:t xml:space="preserve"> that, if at any time the aggregate amount of EBITDA or Consolidated Total Assets attributable to all Restricted Subsidiaries (other than non-U.S. Subsidiaries and non-Canadian Subsidiaries) that are not Material Subsidiaries exceeds ten percent (10%) of EBITDA for any such period or ten percent (10%) of Consolidated Total Assets as of the end of any such fiscal quarter, the Company (or, </w:t>
      </w:r>
      <w:r>
        <w:rPr>
          <w:rFonts w:ascii="Times New Roman" w:hAnsi="Times New Roman"/>
          <w:color w:val="0000FF"/>
          <w:sz w:val="20"/>
          <w:u w:val="single"/>
          <w:bdr w:val="double" w:sz="2" w:space="1" w:color="000000"/>
        </w:rPr>
        <w:t xml:space="preserve">after the consummation of the Take-Private Transaction, HoldCo) (or, </w:t>
      </w:r>
      <w:r>
        <w:rPr>
          <w:rFonts w:ascii="Times New Roman" w:hAnsi="Times New Roman"/>
          <w:sz w:val="20"/>
        </w:rPr>
        <w:t xml:space="preserve">in the event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has failed to do so within ten (10) days, the Administrative Agent) shall first designate sufficient U.S. Subsidiaries as “Material Subsidiaries” to eliminate such excess and second designate sufficient Canadian Subsidiaries as “Material Subsidiaries” to eliminate such excess, and, in each case, such designated Restricted Subsidiaries shall for all purposes of this Agreement constitute Material Subsidiaries. </w:t>
      </w:r>
    </w:p>
    <w:p>
      <w:pPr>
        <w:pStyle w:val="TextBody"/>
        <w:bidi w:val="0"/>
        <w:spacing w:before="120" w:after="0"/>
        <w:jc w:val="left"/>
        <w:rPr/>
      </w:pPr>
      <w:r>
        <w:rPr/>
        <w:t>“</w:t>
      </w:r>
      <w:r>
        <w:rPr>
          <w:rFonts w:ascii="Times New Roman" w:hAnsi="Times New Roman"/>
          <w:sz w:val="20"/>
          <w:u w:val="single"/>
        </w:rPr>
        <w:t>Maturity Date</w:t>
      </w:r>
      <w:r>
        <w:rPr>
          <w:rFonts w:ascii="Times New Roman" w:hAnsi="Times New Roman"/>
          <w:sz w:val="20"/>
        </w:rPr>
        <w:t xml:space="preserve">” means the Revolving Credit Maturity Date, the Initial Term Loan Maturity Date or the maturity date of any new Class of Loans established pursuant to Section 2.09, as applicable. </w:t>
      </w:r>
    </w:p>
    <w:p>
      <w:pPr>
        <w:pStyle w:val="TextBody"/>
        <w:bidi w:val="0"/>
        <w:spacing w:before="120" w:after="0"/>
        <w:jc w:val="left"/>
        <w:rPr/>
      </w:pPr>
      <w:r>
        <w:rPr/>
        <w:t>“</w:t>
      </w:r>
      <w:r>
        <w:rPr>
          <w:rFonts w:ascii="Times New Roman" w:hAnsi="Times New Roman"/>
          <w:sz w:val="20"/>
          <w:u w:val="single"/>
        </w:rPr>
        <w:t>Maximum Rate</w:t>
      </w:r>
      <w:r>
        <w:rPr>
          <w:rFonts w:ascii="Times New Roman" w:hAnsi="Times New Roman"/>
          <w:sz w:val="20"/>
        </w:rPr>
        <w:t xml:space="preserve">” has the meaning assigned to such term in Section 9.17.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Merger Sub” has the meaning assigned to such term in the definition of the term “Take-Private Transaction Merger Agreement”.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MFN Provision” has the meaning assigned to such term in Section 2.09(g).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12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Income</w:t>
      </w:r>
      <w:r>
        <w:rPr>
          <w:rFonts w:ascii="Times New Roman" w:hAnsi="Times New Roman"/>
          <w:sz w:val="20"/>
        </w:rPr>
        <w:t xml:space="preserve">” means, for any period, the consolidated net income (or loss) determined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(a) the income (or deficit) of any Person accrued prior to the date it becomes a Restricted Subsidiary or is merged into or consolidated with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and (b) the income (or deficit) of any Person (other than a Restricted Subsidiary) in which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has an ownership interest, except to the extent that any such income is actually received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such Restricted Subsidiary in the form of dividends or similar distributions. </w:t>
      </w:r>
    </w:p>
    <w:p>
      <w:pPr>
        <w:pStyle w:val="TextBody"/>
        <w:bidi w:val="0"/>
        <w:spacing w:before="120" w:after="0"/>
        <w:jc w:val="left"/>
        <w:rPr/>
      </w:pPr>
      <w:r>
        <w:rPr/>
        <w:t>“</w:t>
      </w:r>
      <w:r>
        <w:rPr>
          <w:rFonts w:ascii="Times New Roman" w:hAnsi="Times New Roman"/>
          <w:sz w:val="20"/>
          <w:u w:val="single"/>
        </w:rPr>
        <w:t>Net Proceeds</w:t>
      </w:r>
      <w:r>
        <w:rPr>
          <w:rFonts w:ascii="Times New Roman" w:hAnsi="Times New Roman"/>
          <w:sz w:val="20"/>
        </w:rPr>
        <w:t>” means, with respect to any Prepayment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(including, in the case of the Sponsor Equity Injection and High Yield Notes, any Take-Private Transaction Transaction Expenses),</w:t>
      </w:r>
      <w:r>
        <w:rPr>
          <w:rFonts w:ascii="Times New Roman" w:hAnsi="Times New Roman"/>
          <w:sz w:val="20"/>
        </w:rPr>
        <w:t xml:space="preserve"> (ii) in the case of a sale, transfer or other Disposition of an asset (including pursuant to a Sale and Leaseback Transaction or a casualty or a taking by eminent domain, condemnation or similar proceeding), the amount of all payments required to be made as a result of such event to repay Indebtedness (other than Loans) secured by such asset or otherwise subject to mandatory prepayment as a result of such event</w:t>
      </w:r>
      <w:r>
        <w:rPr>
          <w:rFonts w:ascii="Times New Roman" w:hAnsi="Times New Roman"/>
          <w:color w:val="0000FF"/>
          <w:sz w:val="20"/>
          <w:u w:val="single"/>
          <w:bdr w:val="double" w:sz="2" w:space="1" w:color="000000"/>
        </w:rPr>
        <w:t>,</w:t>
      </w:r>
      <w:r>
        <w:rPr>
          <w:rFonts w:ascii="Times New Roman" w:hAnsi="Times New Roman"/>
          <w:sz w:val="20"/>
        </w:rPr>
        <w:t xml:space="preserve">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Company</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Non-Consenting Lender</w:t>
      </w:r>
      <w:r>
        <w:rPr>
          <w:rFonts w:ascii="Times New Roman" w:hAnsi="Times New Roman"/>
          <w:sz w:val="20"/>
        </w:rPr>
        <w:t xml:space="preserve">” has the meaning assigned to such term in Section 9.02(d).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Non-Fixed Basket” has the meaning assigned to such term in Section 1.06(b)(i).</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Not Otherwise Applied</w:t>
      </w:r>
      <w:r>
        <w:rPr>
          <w:rFonts w:ascii="Times New Roman" w:hAnsi="Times New Roman"/>
          <w:sz w:val="20"/>
        </w:rPr>
        <w:t xml:space="preserve">” means, with reference to any amount of proceeds of any sale or issuance of Equity Interests or any other transaction or event that is proposed to be applied to a particular use or transaction, that such amount has not previously been (and is not simultaneously being) applied for any other purposes under this Agreement and the other Loan Documents, other than that such particular use or transaction. </w:t>
      </w:r>
    </w:p>
    <w:p>
      <w:pPr>
        <w:pStyle w:val="TextBody"/>
        <w:bidi w:val="0"/>
        <w:spacing w:before="120" w:after="0"/>
        <w:jc w:val="left"/>
        <w:rPr/>
      </w:pPr>
      <w:r>
        <w:rPr/>
        <w:t>“</w:t>
      </w:r>
      <w:r>
        <w:rPr>
          <w:rFonts w:ascii="Times New Roman" w:hAnsi="Times New Roman"/>
          <w:sz w:val="20"/>
          <w:u w:val="single"/>
        </w:rPr>
        <w:t>NYFRB</w:t>
      </w:r>
      <w:r>
        <w:rPr>
          <w:rFonts w:ascii="Times New Roman" w:hAnsi="Times New Roman"/>
          <w:sz w:val="20"/>
        </w:rPr>
        <w:t xml:space="preserve">” means the Federal Reserve Bank of New York. </w:t>
      </w:r>
    </w:p>
    <w:p>
      <w:pPr>
        <w:pStyle w:val="TextBody"/>
        <w:bidi w:val="0"/>
        <w:spacing w:before="120" w:after="0"/>
        <w:jc w:val="left"/>
        <w:rPr/>
      </w:pPr>
      <w:r>
        <w:rPr/>
        <w:t>“</w:t>
      </w:r>
      <w:r>
        <w:rPr>
          <w:rFonts w:ascii="Times New Roman" w:hAnsi="Times New Roman"/>
          <w:sz w:val="20"/>
          <w:u w:val="single"/>
        </w:rPr>
        <w:t>NYFRB Rate</w:t>
      </w:r>
      <w:r>
        <w:rPr>
          <w:rFonts w:ascii="Times New Roman" w:hAnsi="Times New Roman"/>
          <w:sz w:val="20"/>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 </w:t>
      </w:r>
    </w:p>
    <w:p>
      <w:pPr>
        <w:pStyle w:val="TextBody"/>
        <w:bidi w:val="0"/>
        <w:spacing w:before="120" w:after="0"/>
        <w:jc w:val="left"/>
        <w:rPr/>
      </w:pPr>
      <w:r>
        <w:rPr/>
        <w:t>“</w:t>
      </w:r>
      <w:r>
        <w:rPr>
          <w:rFonts w:ascii="Times New Roman" w:hAnsi="Times New Roman"/>
          <w:sz w:val="20"/>
          <w:u w:val="single"/>
        </w:rPr>
        <w:t>NYFRB’s Website</w:t>
      </w:r>
      <w:r>
        <w:rPr>
          <w:rFonts w:ascii="Times New Roman" w:hAnsi="Times New Roman"/>
          <w:sz w:val="20"/>
        </w:rPr>
        <w:t xml:space="preserve">” means the website of the NYFRB at http://www.newyorkfed.org or any successor source.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Obligated Party</w:t>
      </w:r>
      <w:r>
        <w:rPr>
          <w:rFonts w:ascii="Times New Roman" w:hAnsi="Times New Roman"/>
          <w:sz w:val="20"/>
        </w:rPr>
        <w:t xml:space="preserve">” has the meaning assigned to such term in Section 10.02. </w:t>
      </w:r>
    </w:p>
    <w:p>
      <w:pPr>
        <w:pStyle w:val="TextBody"/>
        <w:bidi w:val="0"/>
        <w:spacing w:before="120" w:after="0"/>
        <w:jc w:val="left"/>
        <w:rPr/>
      </w:pPr>
      <w:r>
        <w:rPr/>
        <w:t>“</w:t>
      </w:r>
      <w:r>
        <w:rPr>
          <w:rFonts w:ascii="Times New Roman" w:hAnsi="Times New Roman"/>
          <w:sz w:val="20"/>
          <w:u w:val="single"/>
        </w:rPr>
        <w:t>Obligations</w:t>
      </w:r>
      <w:r>
        <w:rPr>
          <w:rFonts w:ascii="Times New Roman" w:hAnsi="Times New Roman"/>
          <w:sz w:val="20"/>
        </w:rPr>
        <w:t xml:space="preserve">”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Indemnitee,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w:t>
      </w:r>
    </w:p>
    <w:p>
      <w:pPr>
        <w:pStyle w:val="TextBody"/>
        <w:bidi w:val="0"/>
        <w:spacing w:before="12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120" w:after="0"/>
        <w:jc w:val="left"/>
        <w:rPr/>
      </w:pPr>
      <w:r>
        <w:rPr/>
        <w:t>“</w:t>
      </w:r>
      <w:r>
        <w:rPr>
          <w:rFonts w:ascii="Times New Roman" w:hAnsi="Times New Roman"/>
          <w:sz w:val="20"/>
          <w:u w:val="single"/>
        </w:rPr>
        <w:t>Off-Balance Sheet Liability</w:t>
      </w:r>
      <w:r>
        <w:rPr>
          <w:rFonts w:ascii="Times New Roman" w:hAnsi="Times New Roman"/>
          <w:sz w:val="20"/>
        </w:rPr>
        <w:t xml:space="preserve">” of a Person means (a) any repurchase obligation or liability of such Person with respect to accounts or notes receivable sold by such Person or (b) any indebtedness, liability or obligation under any so-called “synthetic lease” transaction entered into by such Person. </w:t>
      </w:r>
    </w:p>
    <w:p>
      <w:pPr>
        <w:pStyle w:val="TextBody"/>
        <w:bidi w:val="0"/>
        <w:spacing w:before="120" w:after="0"/>
        <w:jc w:val="left"/>
        <w:rPr/>
      </w:pPr>
      <w:r>
        <w:rPr/>
        <w:t>“</w:t>
      </w:r>
      <w:r>
        <w:rPr>
          <w:rFonts w:ascii="Times New Roman" w:hAnsi="Times New Roman"/>
          <w:sz w:val="20"/>
          <w:u w:val="single"/>
        </w:rPr>
        <w:t>Original Restatement Date Acquisition Agreement</w:t>
      </w:r>
      <w:r>
        <w:rPr>
          <w:rFonts w:ascii="Times New Roman" w:hAnsi="Times New Roman"/>
          <w:sz w:val="20"/>
        </w:rPr>
        <w:t xml:space="preserve">” means, individually or collectively, as the context may require, (i) the Gexpro Acquisition Agreement and (ii) the TestEquity Acquisition Agreement, as applicable. </w:t>
      </w:r>
    </w:p>
    <w:p>
      <w:pPr>
        <w:pStyle w:val="TextBody"/>
        <w:bidi w:val="0"/>
        <w:spacing w:before="12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 </w:t>
      </w:r>
    </w:p>
    <w:p>
      <w:pPr>
        <w:pStyle w:val="TextBody"/>
        <w:bidi w:val="0"/>
        <w:spacing w:before="12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w:t>
      </w:r>
    </w:p>
    <w:p>
      <w:pPr>
        <w:pStyle w:val="TextBody"/>
        <w:bidi w:val="0"/>
        <w:spacing w:before="120" w:after="0"/>
        <w:jc w:val="left"/>
        <w:rPr/>
      </w:pPr>
      <w:r>
        <w:rPr/>
        <w:t>“</w:t>
      </w:r>
      <w:r>
        <w:rPr>
          <w:rFonts w:ascii="Times New Roman" w:hAnsi="Times New Roman"/>
          <w:sz w:val="20"/>
          <w:u w:val="single"/>
        </w:rPr>
        <w:t>Overnight Bank Funding Rate</w:t>
      </w:r>
      <w:r>
        <w:rPr>
          <w:rFonts w:ascii="Times New Roman" w:hAnsi="Times New Roman"/>
          <w:sz w:val="20"/>
        </w:rPr>
        <w:t xml:space="preserv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w:t>
      </w:r>
    </w:p>
    <w:p>
      <w:pPr>
        <w:pStyle w:val="TextBody"/>
        <w:bidi w:val="0"/>
        <w:spacing w:before="120" w:after="0"/>
        <w:jc w:val="left"/>
        <w:rPr/>
      </w:pPr>
      <w:r>
        <w:rPr/>
        <w:t>“</w:t>
      </w:r>
      <w:r>
        <w:rPr>
          <w:rFonts w:ascii="Times New Roman" w:hAnsi="Times New Roman"/>
          <w:sz w:val="20"/>
          <w:u w:val="single"/>
        </w:rPr>
        <w:t>Overnight Rate</w:t>
      </w:r>
      <w:r>
        <w:rPr>
          <w:rFonts w:ascii="Times New Roman" w:hAnsi="Times New Roman"/>
          <w:sz w:val="20"/>
        </w:rPr>
        <w:t xml:space="preserve">” means, for any day, (a) with respect to any amount denominated in Dollars, the NYFRB Rate and (b) with respect to any amount denominated in an Alternative Currency, an overnight rate determined by the Administrative Agent or the Issuing Bank, as the case may be, in accordance with banking industry rules on interbank compensation.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Ownership Payments” means, in each case without duplication: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 franchise, excise and similar Taxes, and other fees and expenses, required to maintain the corporate or other legal existence of the Company (or, after the consummation of the Take-Private Transaction, HoldCo) and its Restricted 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salary, bonus, severance and other benefits payable to, and indemnities provided on behalf of, employees, directors, officers, members of management, consultants and independent contractors of the Company (or, after the consummation of the Take-Private Transaction, HoldCo) and its Restricted Subsidiaries, and any payroll, social security or similar Taxes thereof, in each case in the ordinary course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(i) general corporate or other operating, administrative, compliance and overhead costs and expenses (including expenses relating to auditing and other accounting matters) of the Company (or, after the consummation of the Take-Private Transaction, HoldCo) and its Restricted Subsidiaries, and (ii) general corporate or other operating, administrative, compliance and overhead costs and expenses (including expenses relating to auditing and other accounting matters) of Sponsor, ParentCo, HoldCo or Merger Sub relating to the operation of the Company (or, after the consummation of the Take-Private Transaction, HoldCo) and its Restricted Subsidiaries, and reimbursements as they relate to operating expenses, fronted fees, costs or expenses related to operating expenses, on a dollar-for-dollar basis and made on an arm’s length basis, of the Company (or, after the consummation of the Take-Private Transaction, HoldCo) or any Restricted Subsidiary, in each case, in the ordinary course and, if applicable, consistent with past practice;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 operating expenses of Sponsor, ParentCo, HoldCo, Merger Sub or the Company in the ordinary course or consistent with past practice, including expenses in connection with transition and related services (including with respect to the Take-Private Transaction), payroll, equity-based compensation and other compensation for officers and employees of Sponsor, ParentCo, HoldCo, Merger Sub or the Company (including the payment of the nominal value of shares received in settlement of equity-based incentive awards and any related payroll taxes and social security contributions), franchise tax and any other similar taxes of or payable by Sponsor, ParentCo, HoldCo, Merger Sub or the Company required to maintain a qualification to do business or corporate or other organizational existence, corporate or overhead costs and expenses, costs for consultants and other costs, in each case attributable to the ownership or operations of any Borrower and the Restricted Subsidiaries (including in connection with any tax sharing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(f) for any tax period in which the Company (or, after the consummation of the Take-Private Transaction, HoldCo) or any of its Restricted Subsidiaries is a member of, or is disregarded as separate from a member of, a consolidated, combined, unitary or similar tax group for U.S. federal income Tax or applicable state or local Tax purposes of which a direct or indirect parent of the Company (or, after the consummation of the Take-Private Transaction, HoldCo) is the common parent, the consolidated, combined, unitary or similar Tax liabilities of such parent as and when due, to the extent such liabilities are attributable to the income or operations of the Company (or, after the consummation of the Take-Private Transaction, HoldCo) or any of its Restricted Subsidiaries but in an amount not to exceed (i) the amount the Company (or, after the consummation of the Take-Private Transaction, HoldCo) or any of its Restricted Subsidiaries would have owed on a standalone basis with respect to such Tax period,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(b) without duplication, any amounts received by the Company (or, after the consummation of the Take-Private Transaction, HoldCo) or any of its Restricted Subsidiaries from an Unrestricted Subsidiary in respect of such Tax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(g) Take-Private Transaction Transaction Expenses;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(h) the purchase price consideration (whether in cash, equity, or otherwise) required to consummate the Take-Private Transaction.</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Paid in Full</w:t>
      </w:r>
      <w:r>
        <w:rPr>
          <w:rFonts w:ascii="Times New Roman" w:hAnsi="Times New Roman"/>
          <w:sz w:val="20"/>
        </w:rPr>
        <w:t>” or “</w:t>
      </w:r>
      <w:r>
        <w:rPr>
          <w:rFonts w:ascii="Times New Roman" w:hAnsi="Times New Roman"/>
          <w:sz w:val="20"/>
          <w:u w:val="single"/>
        </w:rPr>
        <w:t>Payment in Full</w:t>
      </w:r>
      <w:r>
        <w:rPr>
          <w:rFonts w:ascii="Times New Roman" w:hAnsi="Times New Roman"/>
          <w:sz w:val="20"/>
        </w:rPr>
        <w:t xml:space="preserve">”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 up standby letter of credit satisfactory to the Administrative Agent and the Issuing Bank, in an amount equal to 103% of the LC Exposure as of the date of such payment in the manner set forth in Section 2.06(j)),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 Obligations and the Banking Services Obligations or entering into other arrangements satisfactory to the Secured Parties counterparties thereto. </w:t>
      </w:r>
    </w:p>
    <w:p>
      <w:pPr>
        <w:pStyle w:val="TextBody"/>
        <w:bidi w:val="0"/>
        <w:spacing w:before="120" w:after="0"/>
        <w:jc w:val="left"/>
        <w:rPr/>
      </w:pPr>
      <w:r>
        <w:rPr/>
        <w:t>“</w:t>
      </w:r>
      <w:r>
        <w:rPr>
          <w:rFonts w:ascii="Times New Roman" w:hAnsi="Times New Roman"/>
          <w:sz w:val="20"/>
          <w:u w:val="single"/>
        </w:rPr>
        <w:t>Parent</w:t>
      </w:r>
      <w:r>
        <w:rPr>
          <w:rFonts w:ascii="Times New Roman" w:hAnsi="Times New Roman"/>
          <w:sz w:val="20"/>
        </w:rPr>
        <w:t xml:space="preserve">” means, with respect to any Lender, any Person as to which such Lender is, directly or indirectly, a subsidiary.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parent” has the meaning assigned to such term in the definition of the term “subsidiary”.</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ParentCo” has the meaning assigned to such term in the definition of the term “Take-Private Transaction Merger 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Participant</w:t>
      </w:r>
      <w:r>
        <w:rPr>
          <w:rFonts w:ascii="Times New Roman" w:hAnsi="Times New Roman"/>
          <w:sz w:val="20"/>
        </w:rPr>
        <w:t xml:space="preserve">” has the meaning assigned to such term in Section 9.04(c). </w:t>
      </w:r>
    </w:p>
    <w:p>
      <w:pPr>
        <w:pStyle w:val="TextBody"/>
        <w:bidi w:val="0"/>
        <w:spacing w:before="120" w:after="0"/>
        <w:jc w:val="left"/>
        <w:rPr/>
      </w:pPr>
      <w:r>
        <w:rPr/>
        <w:t>“</w:t>
      </w:r>
      <w:r>
        <w:rPr>
          <w:rFonts w:ascii="Times New Roman" w:hAnsi="Times New Roman"/>
          <w:sz w:val="20"/>
          <w:u w:val="single"/>
        </w:rPr>
        <w:t>Participant Register</w:t>
      </w:r>
      <w:r>
        <w:rPr>
          <w:rFonts w:ascii="Times New Roman" w:hAnsi="Times New Roman"/>
          <w:sz w:val="20"/>
        </w:rPr>
        <w:t xml:space="preserve">” has the meaning assigned to such term in Section 9.04(c). </w:t>
      </w:r>
    </w:p>
    <w:p>
      <w:pPr>
        <w:pStyle w:val="TextBody"/>
        <w:bidi w:val="0"/>
        <w:spacing w:before="120" w:after="0"/>
        <w:jc w:val="left"/>
        <w:rPr/>
      </w:pPr>
      <w:r>
        <w:rPr/>
        <w:t>“</w:t>
      </w:r>
      <w:r>
        <w:rPr>
          <w:rFonts w:ascii="Times New Roman" w:hAnsi="Times New Roman"/>
          <w:sz w:val="20"/>
          <w:u w:val="single"/>
        </w:rPr>
        <w:t>Payment</w:t>
      </w:r>
      <w:r>
        <w:rPr>
          <w:rFonts w:ascii="Times New Roman" w:hAnsi="Times New Roman"/>
          <w:sz w:val="20"/>
        </w:rPr>
        <w:t xml:space="preserve">” has the meaning assigned to it in Section 8.06(c). </w:t>
      </w:r>
    </w:p>
    <w:p>
      <w:pPr>
        <w:pStyle w:val="TextBody"/>
        <w:bidi w:val="0"/>
        <w:spacing w:before="120" w:after="0"/>
        <w:jc w:val="left"/>
        <w:rPr/>
      </w:pPr>
      <w:r>
        <w:rPr/>
        <w:t>“</w:t>
      </w:r>
      <w:r>
        <w:rPr>
          <w:rFonts w:ascii="Times New Roman" w:hAnsi="Times New Roman"/>
          <w:sz w:val="20"/>
          <w:u w:val="single"/>
        </w:rPr>
        <w:t>Payment Notice</w:t>
      </w:r>
      <w:r>
        <w:rPr>
          <w:rFonts w:ascii="Times New Roman" w:hAnsi="Times New Roman"/>
          <w:sz w:val="20"/>
        </w:rPr>
        <w:t xml:space="preserve">” has the meaning assigned to it in Section 8.06(c). </w:t>
      </w:r>
    </w:p>
    <w:p>
      <w:pPr>
        <w:pStyle w:val="TextBody"/>
        <w:bidi w:val="0"/>
        <w:spacing w:before="12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120" w:after="0"/>
        <w:jc w:val="left"/>
        <w:rPr/>
      </w:pPr>
      <w:r>
        <w:rPr/>
        <w:t>“</w:t>
      </w:r>
      <w:r>
        <w:rPr>
          <w:rFonts w:ascii="Times New Roman" w:hAnsi="Times New Roman"/>
          <w:sz w:val="20"/>
          <w:u w:val="single"/>
        </w:rPr>
        <w:t>Periodic Term CORRA Determination Day</w:t>
      </w:r>
      <w:r>
        <w:rPr>
          <w:rFonts w:ascii="Times New Roman" w:hAnsi="Times New Roman"/>
          <w:sz w:val="20"/>
        </w:rPr>
        <w:t>” has the meaning assigned to such term in the definition of “</w:t>
      </w:r>
      <w:r>
        <w:rPr>
          <w:rFonts w:ascii="Times New Roman" w:hAnsi="Times New Roman"/>
          <w:sz w:val="20"/>
          <w:u w:val="single"/>
        </w:rPr>
        <w:t>Term CORRA</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Permitted Acquisition</w:t>
      </w:r>
      <w:r>
        <w:rPr>
          <w:rFonts w:ascii="Times New Roman" w:hAnsi="Times New Roman"/>
          <w:sz w:val="20"/>
        </w:rPr>
        <w:t>” means any Acquisition by any Loan Party (</w:t>
      </w:r>
      <w:r>
        <w:rPr>
          <w:rFonts w:ascii="Times New Roman" w:hAnsi="Times New Roman"/>
          <w:color w:val="0000FF"/>
          <w:sz w:val="20"/>
          <w:u w:val="single"/>
          <w:bdr w:val="double" w:sz="2" w:space="1" w:color="000000"/>
        </w:rPr>
        <w:t>other than, after the consummation of the Take-Private Transaction, HoldCo) (</w:t>
      </w:r>
      <w:r>
        <w:rPr>
          <w:rFonts w:ascii="Times New Roman" w:hAnsi="Times New Roman"/>
          <w:sz w:val="20"/>
        </w:rPr>
        <w:t xml:space="preserve">or any Restricted Subsidiary that becomes a Loan Party concurrently with the consummation of such Acquisition) in a transaction that satisfies each of the following requirements (subject to </w:t>
      </w:r>
      <w:r>
        <w:rPr>
          <w:rFonts w:ascii="Times New Roman" w:hAnsi="Times New Roman"/>
          <w:sz w:val="20"/>
          <w:u w:val="single"/>
        </w:rPr>
        <w:t>Section 1.06</w:t>
      </w:r>
      <w:r>
        <w:rPr>
          <w:rFonts w:ascii="Times New Roman" w:hAnsi="Times New Roman"/>
          <w:sz w:val="20"/>
        </w:rPr>
        <w:t xml:space="preserve"> in the case of a Limited Condition Acquisition): </w:t>
      </w:r>
    </w:p>
    <w:p>
      <w:pPr>
        <w:pStyle w:val="TextBody"/>
        <w:bidi w:val="0"/>
        <w:spacing w:before="120" w:after="0"/>
        <w:jc w:val="left"/>
        <w:rPr>
          <w:rFonts w:ascii="Times New Roman" w:hAnsi="Times New Roman"/>
          <w:sz w:val="20"/>
        </w:rPr>
      </w:pPr>
      <w:r>
        <w:rPr>
          <w:rFonts w:ascii="Times New Roman" w:hAnsi="Times New Roman"/>
          <w:sz w:val="20"/>
        </w:rPr>
        <w:t xml:space="preserve">(a) such Acquisition is not a hostile or contested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(b) the business acquired in connection with such Acquisition is not engaged, directly or indirectly, in any line of business other than the businesses in which the Loan Parties are engaged on the Effective Date and any business activities that are substantially similar, related, ancillary or incidental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both immediately before and immediately after giving effect (including giving effect on a pro forma basis) to such Acquisition and any Indebtedness incurred or assumed in connection therewith, no Default shall exist; </w:t>
      </w:r>
    </w:p>
    <w:p>
      <w:pPr>
        <w:pStyle w:val="TextBody"/>
        <w:bidi w:val="0"/>
        <w:spacing w:before="120" w:after="0"/>
        <w:jc w:val="left"/>
        <w:rPr>
          <w:rFonts w:ascii="Times New Roman" w:hAnsi="Times New Roman"/>
          <w:sz w:val="20"/>
        </w:rPr>
      </w:pPr>
      <w:r>
        <w:rPr>
          <w:rFonts w:ascii="Times New Roman" w:hAnsi="Times New Roman"/>
          <w:sz w:val="20"/>
        </w:rPr>
        <w:t xml:space="preserve">(d) at least twenty (20) days prior to any </w:t>
      </w:r>
      <w:r>
        <w:rPr>
          <w:rFonts w:ascii="Times New Roman" w:hAnsi="Times New Roman"/>
          <w:color w:val="0000FF"/>
          <w:sz w:val="20"/>
          <w:u w:val="single"/>
          <w:bdr w:val="double" w:sz="2" w:space="1" w:color="000000"/>
        </w:rPr>
        <w:t xml:space="preserve">Material </w:t>
      </w:r>
      <w:r>
        <w:rPr>
          <w:rFonts w:ascii="Times New Roman" w:hAnsi="Times New Roman"/>
          <w:sz w:val="20"/>
        </w:rPr>
        <w:t xml:space="preserve">Acquisition </w:t>
      </w:r>
      <w:r>
        <w:rPr>
          <w:rFonts w:ascii="Times New Roman" w:hAnsi="Times New Roman"/>
          <w:strike/>
          <w:color w:val="FF0000"/>
          <w:sz w:val="20"/>
        </w:rPr>
        <w:t xml:space="preserve">with total consideration </w:t>
      </w:r>
      <w:r>
        <w:rPr>
          <w:rFonts w:ascii="Times New Roman" w:hAnsi="Times New Roman"/>
          <w:strike/>
          <w:color w:val="008000"/>
          <w:sz w:val="20"/>
        </w:rPr>
        <w:t>equal to or in excess of $</w:t>
      </w:r>
      <w:r>
        <w:rPr>
          <w:rFonts w:ascii="Times New Roman" w:hAnsi="Times New Roman"/>
          <w:strike/>
          <w:color w:val="FF0000"/>
          <w:sz w:val="20"/>
        </w:rPr>
        <w:t xml:space="preserve">50,000,000 </w:t>
      </w:r>
      <w:r>
        <w:rPr>
          <w:rFonts w:ascii="Times New Roman" w:hAnsi="Times New Roman"/>
          <w:sz w:val="20"/>
        </w:rPr>
        <w:t xml:space="preserve">(or such shorter time as may be agreed to by the Administrative Agent in its discretion), the Borrower Representative has provided the Administrative Agent (i) notice of such Acquisition, (ii) copies of the draft acquisition documents together with a due diligence package reasonably satisfactory to the Administrative Agent and (iii) any diligence reports (including, without limitation, any quality of earnings report and financial diligence reports in respect of the applicable target) to the extent procured by the Company </w:t>
      </w:r>
      <w:r>
        <w:rPr>
          <w:rFonts w:ascii="Times New Roman" w:hAnsi="Times New Roman"/>
          <w:color w:val="0000FF"/>
          <w:sz w:val="20"/>
          <w:u w:val="single"/>
          <w:bdr w:val="double" w:sz="2" w:space="1" w:color="000000"/>
        </w:rPr>
        <w:t xml:space="preserve">or any other Loan Party </w:t>
      </w:r>
      <w:r>
        <w:rPr>
          <w:rFonts w:ascii="Times New Roman" w:hAnsi="Times New Roman"/>
          <w:sz w:val="20"/>
        </w:rPr>
        <w:t xml:space="preserve">in connection with such Acquisition; </w:t>
      </w:r>
    </w:p>
    <w:p>
      <w:pPr>
        <w:pStyle w:val="TextBody"/>
        <w:bidi w:val="0"/>
        <w:spacing w:before="120" w:after="0"/>
        <w:jc w:val="left"/>
        <w:rPr>
          <w:rFonts w:ascii="Times New Roman" w:hAnsi="Times New Roman"/>
          <w:sz w:val="20"/>
        </w:rPr>
      </w:pPr>
      <w:r>
        <w:rPr>
          <w:rFonts w:ascii="Times New Roman" w:hAnsi="Times New Roman"/>
          <w:sz w:val="20"/>
        </w:rPr>
        <w:t xml:space="preserve">(e) each Acquisition shall be made by a Borrower or a Guarantor and structured as (i) an asset acquisition of all or substantially all of the assets of the applicable target (or all or substantially all of a line or lines of business of target) by a Loan Party, (ii) a merger or amalgamation of a target with and into a Borrower or such Guarantor with such Borrower or Guarantor as the survivor, or (iii) a purchase of substantially all of the voting Equity Interests of the applicable target; </w:t>
      </w:r>
    </w:p>
    <w:p>
      <w:pPr>
        <w:pStyle w:val="TextBody"/>
        <w:bidi w:val="0"/>
        <w:spacing w:before="120" w:after="0"/>
        <w:jc w:val="left"/>
        <w:rPr>
          <w:rFonts w:ascii="Times New Roman" w:hAnsi="Times New Roman"/>
          <w:sz w:val="20"/>
        </w:rPr>
      </w:pPr>
      <w:r>
        <w:rPr>
          <w:rFonts w:ascii="Times New Roman" w:hAnsi="Times New Roman"/>
          <w:sz w:val="20"/>
        </w:rPr>
        <w:t xml:space="preserve">(f) if such Acquisition involves a merger or amalgamation or a consolidation involving a Borrower or any other Loan Party, such Borrower or such Loan Party, as applicable, shall be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(g) the target of such Acquisition </w:t>
      </w:r>
      <w:r>
        <w:rPr>
          <w:rFonts w:ascii="Times New Roman" w:hAnsi="Times New Roman"/>
          <w:strike/>
          <w:color w:val="FF0000"/>
          <w:sz w:val="20"/>
        </w:rPr>
        <w:t>must</w:t>
      </w:r>
      <w:r>
        <w:rPr>
          <w:rFonts w:ascii="Times New Roman" w:hAnsi="Times New Roman"/>
          <w:color w:val="0000FF"/>
          <w:sz w:val="20"/>
          <w:u w:val="single"/>
          <w:bdr w:val="double" w:sz="2" w:space="1" w:color="000000"/>
        </w:rPr>
        <w:t>shall</w:t>
      </w:r>
      <w:r>
        <w:rPr>
          <w:rFonts w:ascii="Times New Roman" w:hAnsi="Times New Roman"/>
          <w:sz w:val="20"/>
        </w:rPr>
        <w:t xml:space="preserve"> have </w:t>
      </w:r>
      <w:r>
        <w:rPr>
          <w:rFonts w:ascii="Times New Roman" w:hAnsi="Times New Roman"/>
          <w:color w:val="0000FF"/>
          <w:sz w:val="20"/>
          <w:u w:val="single"/>
          <w:bdr w:val="double" w:sz="2" w:space="1" w:color="000000"/>
        </w:rPr>
        <w:t xml:space="preserve">had </w:t>
      </w:r>
      <w:r>
        <w:rPr>
          <w:rFonts w:ascii="Times New Roman" w:hAnsi="Times New Roman"/>
          <w:sz w:val="20"/>
        </w:rPr>
        <w:t>a positive pro forma adjusted EBITDA</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for the period of four fiscal quarters of such target for which financial statements are available at the time of consummation of such Acquisition (or, in the case of a Limited Condition Acquisition, at the time the Company or applicable Restricted Subsidiaries becomes contractually committed to consummate such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both before and after giving effect to the consummation of the Acquisition and any Indebtedness incurred or assumed in connection therewith on a pro forma basis, </w:t>
      </w:r>
      <w:r>
        <w:rPr>
          <w:rFonts w:ascii="Times New Roman" w:hAnsi="Times New Roman"/>
          <w:strike/>
          <w:color w:val="FF0000"/>
          <w:sz w:val="20"/>
        </w:rPr>
        <w:t>(i) </w:t>
      </w:r>
      <w:r>
        <w:rPr>
          <w:rFonts w:ascii="Times New Roman" w:hAnsi="Times New Roman"/>
          <w:sz w:val="20"/>
        </w:rPr>
        <w:t xml:space="preserve">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will be in compliance, on a pro forma basis, with the covenants contained in Section 6.12 (including any applicable Total Net Leverage Ratio Adjustment), calculated based upon financial results for the most recent determination period for which financial statements have been delivered (or were required to have been delivered) pursuant to Section 5.01 (or, if prior to the date of the delivery of the first financial statements to be delivered pursuant to Section 5.01(a) or (b), the most recent financial statements referred to in Section 3.04(a))</w:t>
      </w:r>
      <w:r>
        <w:rPr>
          <w:rFonts w:ascii="Times New Roman" w:hAnsi="Times New Roman"/>
          <w:strike/>
          <w:color w:val="FF0000"/>
          <w:sz w:val="20"/>
        </w:rPr>
        <w:t xml:space="preserve"> and (ii) </w:t>
      </w:r>
      <w:r>
        <w:rPr>
          <w:rFonts w:ascii="Times New Roman" w:hAnsi="Times New Roman"/>
          <w:strike/>
          <w:color w:val="008000"/>
          <w:sz w:val="20"/>
        </w:rPr>
        <w:t xml:space="preserve">the Total Net Leverage Ratio </w:t>
      </w:r>
      <w:r>
        <w:rPr>
          <w:rFonts w:ascii="Times New Roman" w:hAnsi="Times New Roman"/>
          <w:strike/>
          <w:color w:val="FF0000"/>
          <w:sz w:val="20"/>
        </w:rPr>
        <w:t xml:space="preserve">shall not be greater than 0.25 less than the then applicable Total Net Leverage Ratio covenant compliance level permitted pursuant to Section 6.12(b) (including </w:t>
      </w:r>
      <w:r>
        <w:rPr>
          <w:rFonts w:ascii="Times New Roman" w:hAnsi="Times New Roman"/>
          <w:strike/>
          <w:color w:val="008000"/>
          <w:sz w:val="20"/>
        </w:rPr>
        <w:t xml:space="preserve">any applicable Total Net Leverage Ratio Adjustment) </w:t>
      </w:r>
      <w:r>
        <w:rPr>
          <w:rFonts w:ascii="Times New Roman" w:hAnsi="Times New Roman"/>
          <w:strike/>
          <w:color w:val="FF0000"/>
          <w:sz w:val="20"/>
        </w:rPr>
        <w:t xml:space="preserve">for the then applicable covenant compliance test date </w:t>
      </w:r>
      <w:r>
        <w:rPr>
          <w:rFonts w:ascii="Times New Roman" w:hAnsi="Times New Roman"/>
          <w:strike/>
          <w:color w:val="008000"/>
          <w:sz w:val="20"/>
        </w:rPr>
        <w:t>(on a pro forma basis</w:t>
      </w:r>
      <w:r>
        <w:rPr>
          <w:rFonts w:ascii="Times New Roman" w:hAnsi="Times New Roman"/>
          <w:strike/>
          <w:color w:val="FF0000"/>
          <w:sz w:val="20"/>
        </w:rPr>
        <w:t xml:space="preserve">, calculated based upon financial results for the most recent determination period </w:t>
      </w:r>
      <w:r>
        <w:rPr>
          <w:rFonts w:ascii="Times New Roman" w:hAnsi="Times New Roman"/>
          <w:strike/>
          <w:color w:val="008000"/>
          <w:sz w:val="20"/>
        </w:rPr>
        <w:t>for which financial statements have been delivered pursuant to Section 5.01 (</w:t>
      </w:r>
      <w:r>
        <w:rPr>
          <w:rFonts w:ascii="Times New Roman" w:hAnsi="Times New Roman"/>
          <w:strike/>
          <w:color w:val="FF0000"/>
          <w:sz w:val="20"/>
        </w:rPr>
        <w:t>or, if prior to the date of the delivery of the first financial statements to be delivered pursuant to Section 5.01(a) or (b), the most recent financial statements referred to in Section 3.04(a)));</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all actions required to be taken with respect to any newly acquired or formed Restricted Subsidiary of a Borrower or a Loan Party, as applicable, required under Section 5.13 shall have been taken</w:t>
      </w:r>
      <w:r>
        <w:rPr>
          <w:rFonts w:ascii="Times New Roman" w:hAnsi="Times New Roman"/>
          <w:color w:val="0000FF"/>
          <w:sz w:val="20"/>
          <w:u w:val="single"/>
          <w:bdr w:val="double" w:sz="2" w:space="1" w:color="000000"/>
        </w:rPr>
        <w:t xml:space="preserve"> (or shall be taken within the time periods permitted under Section 5.13)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w:t>
      </w:r>
      <w:r>
        <w:rPr>
          <w:rFonts w:ascii="Times New Roman" w:hAnsi="Times New Roman"/>
          <w:strike/>
          <w:color w:val="FF0000"/>
          <w:sz w:val="20"/>
        </w:rPr>
        <w:t xml:space="preserve"> at least five (5) Business Days</w:t>
      </w:r>
      <w:r>
        <w:rPr>
          <w:rFonts w:ascii="Times New Roman" w:hAnsi="Times New Roman"/>
          <w:color w:val="0000FF"/>
          <w:sz w:val="20"/>
          <w:u w:val="single"/>
          <w:bdr w:val="double" w:sz="2" w:space="1" w:color="000000"/>
        </w:rPr>
        <w:t>on or</w:t>
      </w:r>
      <w:r>
        <w:rPr>
          <w:rFonts w:ascii="Times New Roman" w:hAnsi="Times New Roman"/>
          <w:sz w:val="20"/>
        </w:rPr>
        <w:t xml:space="preserve"> prior to </w:t>
      </w:r>
      <w:r>
        <w:rPr>
          <w:rFonts w:ascii="Times New Roman" w:hAnsi="Times New Roman"/>
          <w:strike/>
          <w:color w:val="FF0000"/>
          <w:sz w:val="20"/>
        </w:rPr>
        <w:t>any</w:t>
      </w:r>
      <w:r>
        <w:rPr>
          <w:rFonts w:ascii="Times New Roman" w:hAnsi="Times New Roman"/>
          <w:color w:val="0000FF"/>
          <w:sz w:val="20"/>
          <w:u w:val="single"/>
          <w:bdr w:val="double" w:sz="2" w:space="1" w:color="000000"/>
        </w:rPr>
        <w:t>the consummation of any Material</w:t>
      </w:r>
      <w:r>
        <w:rPr>
          <w:rFonts w:ascii="Times New Roman" w:hAnsi="Times New Roman"/>
          <w:sz w:val="20"/>
        </w:rPr>
        <w:t xml:space="preserve"> Acquisition</w:t>
      </w:r>
      <w:r>
        <w:rPr>
          <w:rFonts w:ascii="Times New Roman" w:hAnsi="Times New Roman"/>
          <w:strike/>
          <w:color w:val="FF0000"/>
          <w:sz w:val="20"/>
        </w:rPr>
        <w:t xml:space="preserve"> with total consideration in excess of $50,000,000 (or such shorter time as may be agreed to </w:t>
      </w:r>
      <w:r>
        <w:rPr>
          <w:rFonts w:ascii="Times New Roman" w:hAnsi="Times New Roman"/>
          <w:strike/>
          <w:color w:val="008000"/>
          <w:sz w:val="20"/>
        </w:rPr>
        <w:t xml:space="preserve">by the Administrative Agent in </w:t>
      </w:r>
      <w:r>
        <w:rPr>
          <w:rFonts w:ascii="Times New Roman" w:hAnsi="Times New Roman"/>
          <w:strike/>
          <w:color w:val="FF0000"/>
          <w:sz w:val="20"/>
        </w:rPr>
        <w:t>its discretion)</w:t>
      </w:r>
      <w:r>
        <w:rPr>
          <w:rFonts w:ascii="Times New Roman" w:hAnsi="Times New Roman"/>
          <w:sz w:val="20"/>
        </w:rPr>
        <w:t xml:space="preserve">, the Borrower Representative shall provide a certificate (i) certifying that all of the requirements for a Permitted Acquisition will be satisfied on or prior to the consummation of such Acquisition and (ii) a reasonably detailed calculation of the requirements set forth in clause (h) above; and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(k) </w:t>
      </w:r>
      <w:r>
        <w:rPr>
          <w:rFonts w:ascii="Times New Roman" w:hAnsi="Times New Roman"/>
          <w:color w:val="0000FF"/>
          <w:sz w:val="20"/>
          <w:u w:val="single"/>
          <w:bdr w:val="double" w:sz="2" w:space="1" w:color="000000"/>
        </w:rPr>
        <w:t>(k)</w:t>
      </w:r>
      <w:r>
        <w:rPr>
          <w:rFonts w:ascii="Times New Roman" w:hAnsi="Times New Roman"/>
          <w:sz w:val="20"/>
        </w:rPr>
        <w:t xml:space="preserve"> the aggregate purchase consideration paid or payable (including without limitation, earnout or similar obligations) in respect of all Permitted Acquisitions of Persons that do not become Loan Parties and assets that do not constitute Collateral shall not exceed </w:t>
      </w:r>
      <w:r>
        <w:rPr>
          <w:rFonts w:ascii="Times New Roman" w:hAnsi="Times New Roman"/>
          <w:color w:val="0000FF"/>
          <w:sz w:val="20"/>
          <w:u w:val="single"/>
          <w:bdr w:val="double" w:sz="2" w:space="1" w:color="000000"/>
        </w:rPr>
        <w:t>the greater of (x) </w:t>
      </w:r>
      <w:r>
        <w:rPr>
          <w:rFonts w:ascii="Times New Roman" w:hAnsi="Times New Roman"/>
          <w:sz w:val="20"/>
        </w:rPr>
        <w:t xml:space="preserve">$87,500,000 </w:t>
      </w:r>
      <w:r>
        <w:rPr>
          <w:rFonts w:ascii="Times New Roman" w:hAnsi="Times New Roman"/>
          <w:color w:val="0000FF"/>
          <w:sz w:val="20"/>
          <w:u w:val="single"/>
          <w:bdr w:val="double" w:sz="2" w:space="1" w:color="000000"/>
        </w:rPr>
        <w:t xml:space="preserve">and (y) 50% of Applicable EBITDA </w:t>
      </w:r>
      <w:r>
        <w:rPr>
          <w:rFonts w:ascii="Times New Roman" w:hAnsi="Times New Roman"/>
          <w:sz w:val="20"/>
        </w:rPr>
        <w:t xml:space="preserve">during the term of this Agreement. </w:t>
      </w:r>
    </w:p>
    <w:p>
      <w:pPr>
        <w:pStyle w:val="TextBody"/>
        <w:bidi w:val="0"/>
        <w:spacing w:before="360" w:after="0"/>
        <w:jc w:val="left"/>
        <w:rPr/>
      </w:pPr>
      <w:r>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imposed by law for Taxes that are not yet due or are being contested in compliance with Section 5.04; </w:t>
      </w:r>
    </w:p>
    <w:p>
      <w:pPr>
        <w:pStyle w:val="TextBody"/>
        <w:bidi w:val="0"/>
        <w:spacing w:before="120" w:after="0"/>
        <w:jc w:val="left"/>
        <w:rPr>
          <w:rFonts w:ascii="Times New Roman" w:hAnsi="Times New Roman"/>
          <w:sz w:val="20"/>
        </w:rPr>
      </w:pPr>
      <w:r>
        <w:rPr>
          <w:rFonts w:ascii="Times New Roman" w:hAnsi="Times New Roman"/>
          <w:sz w:val="20"/>
        </w:rPr>
        <w:t xml:space="preserve">(b) carriers’, warehousemen’s, mechanics’, materialmen’s, repairmen’s and other like Liens imposed by law, arising in the ordinary course of business and securing obligations that are not overdue by more than sixty (60) days or are being contested in compliance with Section 5.04; </w:t>
      </w:r>
    </w:p>
    <w:p>
      <w:pPr>
        <w:pStyle w:val="TextBody"/>
        <w:bidi w:val="0"/>
        <w:spacing w:before="120" w:after="0"/>
        <w:jc w:val="left"/>
        <w:rPr>
          <w:rFonts w:ascii="Times New Roman" w:hAnsi="Times New Roman"/>
          <w:sz w:val="20"/>
        </w:rPr>
      </w:pPr>
      <w:r>
        <w:rPr>
          <w:rFonts w:ascii="Times New Roman" w:hAnsi="Times New Roman"/>
          <w:sz w:val="20"/>
        </w:rPr>
        <w:t xml:space="preserve">(c) pledges and deposits made in the ordinary course of business in compliance with workers’ compensation, unemployment insurance and other social security laws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(d) deposits to secure the performance of bids, trade contracts, leases, statutory obligations, surety and appeal bonds, performance bonds and other obligations of a like nature,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judgment Liens in respect of judgments that do not constitute an Event of Default under Section 7.01(k); </w:t>
      </w:r>
    </w:p>
    <w:p>
      <w:pPr>
        <w:pStyle w:val="TextBody"/>
        <w:bidi w:val="0"/>
        <w:spacing w:before="120" w:after="0"/>
        <w:jc w:val="left"/>
        <w:rPr>
          <w:rFonts w:ascii="Times New Roman" w:hAnsi="Times New Roman"/>
          <w:sz w:val="20"/>
        </w:rPr>
      </w:pPr>
      <w:r>
        <w:rPr>
          <w:rFonts w:ascii="Times New Roman" w:hAnsi="Times New Roman"/>
          <w:sz w:val="20"/>
        </w:rPr>
        <w:t xml:space="preserve">(f)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any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left"/>
        <w:rPr>
          <w:rFonts w:ascii="Times New Roman" w:hAnsi="Times New Roman"/>
          <w:sz w:val="20"/>
        </w:rPr>
      </w:pPr>
      <w:r>
        <w:rPr>
          <w:rFonts w:ascii="Times New Roman" w:hAnsi="Times New Roman"/>
          <w:sz w:val="20"/>
        </w:rPr>
        <w:t xml:space="preserve">(h) Liens that are contractual rights of set-off (i) relating to the establishment of depository relations with banks in the ordinary course of business and not given in connection with the issuance of Indebtedness, (ii) relating to pooled deposit or sweep accounts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of its Restricted Subsidiaries to permit satisfaction of overdraft or similar obligations incurred in the ordinary course of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of its Restricted Subsidiaries, or (iii) relating to purchase orders entered into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of its Restricted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security given to a public utility or any municipality or Governmental Authority when required by such utility or authority in connection with the operations of that Person, in each case, in the ordinary course of business;</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Liens imposed by any Governmental Authority in respect of Canadian Priority Payables that are not yet due or delinquent, or which are being contested in good faith, and during such period during which such Liens are being so contested, such Liens shall not be registered or executed on or enforced against any of the assets of any Loan Party;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(k)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 Liens on assets of Restricted Subsidiaries that are Foreign Subsidiaries (other than Canadian Loan Parties) securing Indebtedness and other obligations of such Foreign Subsidiaries permitted under this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 Liens on assets of a Person at the time such Person becomes a Subsidiary; provided that such Liens (i) are not created or incurred in connection with, or in contemplation of, such other Person becoming such a Subsidiary and (ii) do not extend to assets other than those that are subject to such Lien at the time such Person becomes a Subsidiary;</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(n) Liens on property or other assets at the time a Borrower or a Restricted Subsidiary acquired the property or such other assets, including any acquisition by means of a merger, amalgamation or consolidation with or into any Borrower or any Restricted Subsidiary (provided that such Liens are not created or incurred in connection with, or in contemplation of, such acquisition, amalgamation, merger or consolidation) and any replacement, extension or renewal of any such Lien (to the extent the Indebtedness and other obligations secured by such replacement, extension or renewal Liens are permitted by this Agreement); provided that such replacement, extension or renewal Liens do not cover any property other than the property that was subject to such Liens prior to such replacement, extension or renewal (plus after-acquired property that is (i) affixed or incorporated into the property covered by such Lien, (ii)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(o) Liens in favor of any Borrower or any Guarantor;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(p) Liens on the proceeds from the offering of any debt securities or other Indebtedness deposited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(including any interest earned on the amounts held in escrow) for the benefit of the related holders of debt securities or other Indebtedness (or the underwriters, trustee, escrow agent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term “Permitted Encumbrances” shall not include any Lien securing Indebtedness, except with respect to clauses (d)</w:t>
      </w:r>
      <w:r>
        <w:rPr>
          <w:rFonts w:ascii="Times New Roman" w:hAnsi="Times New Roman"/>
          <w:strike/>
          <w:color w:val="FF0000"/>
          <w:sz w:val="20"/>
        </w:rPr>
        <w:t> and</w:t>
      </w:r>
      <w:r>
        <w:rPr>
          <w:rFonts w:ascii="Times New Roman" w:hAnsi="Times New Roman"/>
          <w:color w:val="0000FF"/>
          <w:sz w:val="20"/>
          <w:u w:val="single"/>
          <w:bdr w:val="double" w:sz="2" w:space="1" w:color="000000"/>
        </w:rPr>
        <w:t>,</w:t>
      </w:r>
      <w:r>
        <w:rPr>
          <w:rFonts w:ascii="Times New Roman" w:hAnsi="Times New Roman"/>
          <w:sz w:val="20"/>
        </w:rPr>
        <w:t xml:space="preserve"> (e</w:t>
      </w:r>
      <w:r>
        <w:rPr>
          <w:rFonts w:ascii="Times New Roman" w:hAnsi="Times New Roman"/>
          <w:color w:val="0000FF"/>
          <w:sz w:val="20"/>
          <w:u w:val="single"/>
          <w:bdr w:val="double" w:sz="2" w:space="1" w:color="000000"/>
        </w:rPr>
        <w:t>), (l), (m) and (n</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or obligations the principal of and interest on which are unconditionally guaranteed by, the U.S. or the federal government of Canada (or by any agency thereof to the extent such obligations are backed by the full faith and credit of the U.S. or the federal government of Canada), in each case maturing within one year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(b) investments in commercial paper maturing within 270 days from the date of acquisition thereof and having, at such date of acquisition, the highest credit rating obtainable from S&amp;P or from Moody’s;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Canada or any state, province or territory thereof which has a combined capital and surplus and undivided profits of not less than $500,000,000; </w:t>
      </w:r>
    </w:p>
    <w:p>
      <w:pPr>
        <w:pStyle w:val="TextBody"/>
        <w:bidi w:val="0"/>
        <w:spacing w:before="120" w:after="0"/>
        <w:jc w:val="left"/>
        <w:rPr>
          <w:rFonts w:ascii="Times New Roman" w:hAnsi="Times New Roman"/>
          <w:sz w:val="20"/>
        </w:rPr>
      </w:pPr>
      <w:r>
        <w:rPr>
          <w:rFonts w:ascii="Times New Roman" w:hAnsi="Times New Roman"/>
          <w:sz w:val="20"/>
        </w:rPr>
        <w:t xml:space="preserve">(d) fully collateralized repurchase agreements with a term of not more than 30 days for securities described in clause (a) above and entered into with a financial institution satisfying the criteria described in clause (c) above; and </w:t>
      </w:r>
    </w:p>
    <w:p>
      <w:pPr>
        <w:pStyle w:val="TextBody"/>
        <w:bidi w:val="0"/>
        <w:spacing w:before="120" w:after="0"/>
        <w:jc w:val="left"/>
        <w:rPr>
          <w:rFonts w:ascii="Times New Roman" w:hAnsi="Times New Roman"/>
          <w:sz w:val="20"/>
        </w:rPr>
      </w:pPr>
      <w:r>
        <w:rPr>
          <w:rFonts w:ascii="Times New Roman" w:hAnsi="Times New Roman"/>
          <w:sz w:val="20"/>
        </w:rPr>
        <w:t xml:space="preserve">(e) money market funds that (i) comply with the criteria set forth in Securities and Exchange Commission Rule 2a-7 under the Investment Company Act of 1940, (ii) are rated AAA by S&amp;P and Aaa by Moody’s and (iii) have portfolio assets of at least $5,000,000,000.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Permitted Holder” means the Sponsor.</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Permitted Supply Chain Financing</w:t>
      </w:r>
      <w:r>
        <w:rPr>
          <w:rFonts w:ascii="Times New Roman" w:hAnsi="Times New Roman"/>
          <w:sz w:val="20"/>
        </w:rPr>
        <w:t xml:space="preserve">” means one or more non-recourse supply chain financings, pursuant to terms and conditions reasonably satisfactory to the Administrative Agent, in respect of Supply Chain Financing Accounts owing by one or more Account Debtors at the time such Supply Chain Financing Accounts were sold (or deemed sold); </w:t>
      </w:r>
      <w:r>
        <w:rPr>
          <w:rFonts w:ascii="Times New Roman" w:hAnsi="Times New Roman"/>
          <w:sz w:val="20"/>
          <w:u w:val="single"/>
        </w:rPr>
        <w:t>provided</w:t>
      </w:r>
      <w:r>
        <w:rPr>
          <w:rFonts w:ascii="Times New Roman" w:hAnsi="Times New Roman"/>
          <w:sz w:val="20"/>
        </w:rPr>
        <w:t xml:space="preserve"> that any such sale is a true sale with any recourse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limited to breach of a representation, warranty or covenant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 Restricted Subsidiary with respect to the sold Supply Chain Financing Accounts. </w:t>
      </w:r>
    </w:p>
    <w:p>
      <w:pPr>
        <w:pStyle w:val="TextBody"/>
        <w:bidi w:val="0"/>
        <w:spacing w:before="12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or unlimited liability company, trust, joint venture, association, company, partnership, Governmental Authority or other entity. </w:t>
      </w:r>
    </w:p>
    <w:p>
      <w:pPr>
        <w:pStyle w:val="TextBody"/>
        <w:bidi w:val="0"/>
        <w:spacing w:before="12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 </w:t>
      </w:r>
    </w:p>
    <w:p>
      <w:pPr>
        <w:pStyle w:val="TextBody"/>
        <w:bidi w:val="0"/>
        <w:spacing w:before="120" w:after="0"/>
        <w:jc w:val="left"/>
        <w:rPr/>
      </w:pPr>
      <w:r>
        <w:rPr/>
        <w:t>“</w:t>
      </w:r>
      <w:r>
        <w:rPr>
          <w:rFonts w:ascii="Times New Roman" w:hAnsi="Times New Roman"/>
          <w:sz w:val="20"/>
          <w:u w:val="single"/>
        </w:rPr>
        <w:t>Plan Asset Regulations</w:t>
      </w:r>
      <w:r>
        <w:rPr>
          <w:rFonts w:ascii="Times New Roman" w:hAnsi="Times New Roman"/>
          <w:sz w:val="20"/>
        </w:rPr>
        <w:t xml:space="preserve">” means 29 CFR § 2510.3-101 et seq., as modified by Section 3(42) of ERISA, as amended from time to time. </w:t>
      </w:r>
    </w:p>
    <w:p>
      <w:pPr>
        <w:pStyle w:val="TextBody"/>
        <w:bidi w:val="0"/>
        <w:spacing w:before="120" w:after="0"/>
        <w:jc w:val="left"/>
        <w:rPr/>
      </w:pPr>
      <w:r>
        <w:rPr/>
        <w:t>“</w:t>
      </w:r>
      <w:r>
        <w:rPr>
          <w:rFonts w:ascii="Times New Roman" w:hAnsi="Times New Roman"/>
          <w:sz w:val="20"/>
          <w:u w:val="single"/>
        </w:rPr>
        <w:t>PPSA</w:t>
      </w:r>
      <w:r>
        <w:rPr>
          <w:rFonts w:ascii="Times New Roman" w:hAnsi="Times New Roman"/>
          <w:sz w:val="20"/>
        </w:rPr>
        <w:t xml:space="preserve">” means the </w:t>
      </w:r>
      <w:r>
        <w:rPr>
          <w:rFonts w:ascii="Times New Roman" w:hAnsi="Times New Roman"/>
          <w:i/>
          <w:sz w:val="20"/>
        </w:rPr>
        <w:t>Personal Property Security Ac</w:t>
      </w:r>
      <w:r>
        <w:rPr>
          <w:rFonts w:ascii="Times New Roman" w:hAnsi="Times New Roman"/>
          <w:sz w:val="20"/>
        </w:rPr>
        <w:t xml:space="preserve">t British Columbia, including the regulations thereto, provided that, if validity, perfection or the effect of perfection or non-perfection or the priority of any Lien created hereunder on the Collateral is governed by the personal property security legislation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applicable legislation with respect to personal property security in effect in a jurisdiction other than British Columbia, “PPSA” means the Personal Property Security Act or such other applicable legislation in effect from time to time in such other jurisdiction for purposes of the provisions hereof relating to such validity, perfection, effect of perfection or non-perfection or priority. </w:t>
      </w:r>
    </w:p>
    <w:p>
      <w:pPr>
        <w:pStyle w:val="TextBody"/>
        <w:bidi w:val="0"/>
        <w:spacing w:before="120" w:after="0"/>
        <w:jc w:val="left"/>
        <w:rPr/>
      </w:pPr>
      <w:r>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(i) any sale, transfer or other Disposition of any property or asset of any Loan Party or any Restricted Subsidiary made in reliance on Section 6.05(k), (ii) any sale, transfer or other Disposition by any Loan Party or any Restricted Subsidiary of all or substantially all of the assets of, or Equity Interests in, any Unrestricted Subsidiary or (iii) any casualty, or any taking under power of eminent domain or by condemnation or similar proceeding of, any property or asset of any Loan Party or any Restricted Subsidiary;</w:t>
      </w:r>
      <w:r>
        <w:rPr>
          <w:rFonts w:ascii="Times New Roman" w:hAnsi="Times New Roman"/>
          <w:strike/>
          <w:color w:val="FF0000"/>
          <w:sz w:val="20"/>
        </w:rPr>
        <w:t xml:space="preserve">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incurrence by any Loan Party or any Restricted Subsidiary of any Indebtedness, other than Indebtedness permitted under Section 6.01</w:t>
      </w:r>
      <w:r>
        <w:rPr>
          <w:rFonts w:ascii="Times New Roman" w:hAnsi="Times New Roman"/>
          <w:strike/>
          <w:color w:val="FF0000"/>
          <w:sz w:val="20"/>
        </w:rPr>
        <w:t>.</w:t>
      </w:r>
      <w:r>
        <w:rPr>
          <w:rFonts w:ascii="Times New Roman" w:hAnsi="Times New Roman"/>
          <w:color w:val="0000FF"/>
          <w:sz w:val="20"/>
          <w:u w:val="single"/>
          <w:bdr w:val="double" w:sz="2" w:space="1" w:color="000000"/>
        </w:rPr>
        <w:t>; and</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to the extent required by Section 2.11(c)(ii) and (iii):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issuance of the High Yield Notes;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receipt by the Company of the proceeds of the Sponsor Equity Injection;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incurrence by the Company or any Restricted Subsidiary of any Indebtedness (other than the High Yield Notes) pursuant to Sections 6.01(q) and (r) hereof or any other Indebtedness not permitted under Section 6.01;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following the consummation of the Take-Private Transaction, the issuance by the Company of any Equity Interests, or the receipt by the Company or any Restricted Subsidiary of any capital contribution (in each case, other than (x) Equity Interests or contributions resulting from the Sponsor Equity Injection or (y) capital contributions in any Restricted Subsidiary by the Company or any other Restricted Subsidiary).</w:t>
            </w:r>
            <w:r>
              <w:rPr>
                <w:rFonts w:ascii="Times New Roman" w:hAnsi="Times New Roman"/>
                <w:sz w:val="20"/>
              </w:rPr>
              <w:t xml:space="preserve"> </w:t>
            </w:r>
          </w:p>
        </w:tc>
      </w:tr>
    </w:tbl>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Previously Absent Financial Maintenance Covenant” means, at any time (i) any financial maintenance covenant that is not contained in this Agreement at such time and (ii) any financial maintenance covenant, a corresponding version of which is already contained in this Agreement at such time but with covenant levels and component definitions (to the extent relating to such corresponding version) that are less restrictive as to the Loan Parties and the Restricted Subsidiaries than those in the applicable Incremental Facility Amendment or Extension Amendment or any documents relating to Refinance Indebtedness.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Proceeding</w:t>
      </w:r>
      <w:r>
        <w:rPr>
          <w:rFonts w:ascii="Times New Roman" w:hAnsi="Times New Roman"/>
          <w:sz w:val="20"/>
        </w:rPr>
        <w:t xml:space="preserve">” means any claim, litigation, investigation, action, suit, arbitration or administrative, judicial or regulatory action or proceeding in any jurisdiction. </w:t>
      </w:r>
    </w:p>
    <w:p>
      <w:pPr>
        <w:pStyle w:val="TextBody"/>
        <w:bidi w:val="0"/>
        <w:spacing w:before="120" w:after="0"/>
        <w:jc w:val="left"/>
        <w:rPr/>
      </w:pPr>
      <w:r>
        <w:rPr/>
        <w:t>“</w:t>
      </w:r>
      <w:r>
        <w:rPr>
          <w:rFonts w:ascii="Times New Roman" w:hAnsi="Times New Roman"/>
          <w:sz w:val="20"/>
          <w:u w:val="single"/>
        </w:rPr>
        <w:t>Projections</w:t>
      </w:r>
      <w:r>
        <w:rPr>
          <w:rFonts w:ascii="Times New Roman" w:hAnsi="Times New Roman"/>
          <w:sz w:val="20"/>
        </w:rPr>
        <w:t xml:space="preserve">” has the meaning assigned to such term in Section 5.01(d). </w:t>
      </w:r>
    </w:p>
    <w:p>
      <w:pPr>
        <w:pStyle w:val="TextBody"/>
        <w:bidi w:val="0"/>
        <w:spacing w:before="12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120" w:after="0"/>
        <w:jc w:val="left"/>
        <w:rPr/>
      </w:pPr>
      <w:r>
        <w:rPr/>
        <w:t>“</w:t>
      </w:r>
      <w:r>
        <w:rPr>
          <w:rFonts w:ascii="Times New Roman" w:hAnsi="Times New Roman"/>
          <w:sz w:val="20"/>
          <w:u w:val="single"/>
        </w:rPr>
        <w:t>Qualified ECP Guarantor</w:t>
      </w:r>
      <w:r>
        <w:rPr>
          <w:rFonts w:ascii="Times New Roman" w:hAnsi="Times New Roman"/>
          <w:sz w:val="20"/>
        </w:rPr>
        <w:t xml:space="preserve">”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120" w:after="0"/>
        <w:jc w:val="left"/>
        <w:rPr/>
      </w:pPr>
      <w:r>
        <w:rPr/>
        <w:t>“</w:t>
      </w:r>
      <w:r>
        <w:rPr>
          <w:rFonts w:ascii="Times New Roman" w:hAnsi="Times New Roman"/>
          <w:sz w:val="20"/>
          <w:u w:val="single"/>
        </w:rPr>
        <w:t>Qualified Stock</w:t>
      </w:r>
      <w:r>
        <w:rPr>
          <w:rFonts w:ascii="Times New Roman" w:hAnsi="Times New Roman"/>
          <w:sz w:val="20"/>
        </w:rPr>
        <w:t xml:space="preserve">” of any Person means Equity Interests of such Person other than Disqualified Stock of such Person.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Qualifying IPO” means, after the consummation of the Take-Private Transaction, the issuance by the Company, ParentCo, HoldCo or Merger Sub of its common Equity Interests that are listed on a national exchange or publicly offered (other than a public offering pursuant to a registration statement on Form S-8) (including pursuant to an effective registration statement filed with the SEC in accordance with the Securities Act (whether alone or in connection with a secondary public offering)).</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Recipient</w:t>
      </w:r>
      <w:r>
        <w:rPr>
          <w:rFonts w:ascii="Times New Roman" w:hAnsi="Times New Roman"/>
          <w:sz w:val="20"/>
        </w:rPr>
        <w:t xml:space="preserve">” means, as applicable, (a) the Administrative Agent, (b) any Lender and (c) any Issuing Bank, or any combination thereof (as the context requires). </w:t>
      </w:r>
    </w:p>
    <w:p>
      <w:pPr>
        <w:pStyle w:val="TextBody"/>
        <w:bidi w:val="0"/>
        <w:spacing w:before="120" w:after="0"/>
        <w:jc w:val="left"/>
        <w:rPr/>
      </w:pPr>
      <w:r>
        <w:rPr/>
        <w:t>“</w:t>
      </w:r>
      <w:r>
        <w:rPr>
          <w:rFonts w:ascii="Times New Roman" w:hAnsi="Times New Roman"/>
          <w:sz w:val="20"/>
          <w:u w:val="single"/>
        </w:rPr>
        <w:t>Reference Time</w:t>
      </w:r>
      <w:r>
        <w:rPr>
          <w:rFonts w:ascii="Times New Roman" w:hAnsi="Times New Roman"/>
          <w:sz w:val="20"/>
        </w:rPr>
        <w:t xml:space="preserve">” with respect to any setting of the then-current Benchmark means (1) if such Benchmark is the Term SOFR Rate, 5:00 a.m. (Chicago time) on the day that is two Business Days preceding the date of such setting, (2) if the RFR for such Benchmark is Daily Simple SOFR, then four Business Days prior to such setting, (3) if, following a Benchmark Transition Event and Benchmark Replacement Date with respect to Term CORRA, the RFR for such Benchmark is Daily Simple CORRA, then four Business Days prior to such setting, (4) if such Benchmark is the Adjusted Term CORRA Rate, 1:00 p.m. Toronto, Ontario time on the day that is two Business Days preceding the date of such setting, or (5) if such Benchmark is none of the Term SOFR Rate, Daily Simple SOFR, Daily Simple CORRA or the Adjusted Term CORRA Rate, the time determined by the Administrative Agent in its reasonable discretion. </w:t>
      </w:r>
    </w:p>
    <w:p>
      <w:pPr>
        <w:pStyle w:val="TextBody"/>
        <w:bidi w:val="0"/>
        <w:spacing w:before="120" w:after="0"/>
        <w:jc w:val="left"/>
        <w:rPr/>
      </w:pPr>
      <w:r>
        <w:rPr/>
        <w:t>“</w:t>
      </w:r>
      <w:r>
        <w:rPr>
          <w:rFonts w:ascii="Times New Roman" w:hAnsi="Times New Roman"/>
          <w:sz w:val="20"/>
          <w:u w:val="single"/>
        </w:rPr>
        <w:t>Refinance Indebtedness</w:t>
      </w:r>
      <w:r>
        <w:rPr>
          <w:rFonts w:ascii="Times New Roman" w:hAnsi="Times New Roman"/>
          <w:sz w:val="20"/>
        </w:rPr>
        <w:t xml:space="preserve">” has the meaning assigned to such term in Section 6.01(g). </w:t>
      </w:r>
    </w:p>
    <w:p>
      <w:pPr>
        <w:pStyle w:val="TextBody"/>
        <w:bidi w:val="0"/>
        <w:spacing w:before="12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Section 9.04(b). </w:t>
      </w:r>
    </w:p>
    <w:p>
      <w:pPr>
        <w:pStyle w:val="TextBody"/>
        <w:bidi w:val="0"/>
        <w:spacing w:before="120" w:after="0"/>
        <w:jc w:val="left"/>
        <w:rPr/>
      </w:pPr>
      <w:r>
        <w:rPr/>
        <w:t>“</w:t>
      </w:r>
      <w:r>
        <w:rPr>
          <w:rFonts w:ascii="Times New Roman" w:hAnsi="Times New Roman"/>
          <w:sz w:val="20"/>
          <w:u w:val="single"/>
        </w:rPr>
        <w:t>Regulation T</w:t>
      </w:r>
      <w:r>
        <w:rPr>
          <w:rFonts w:ascii="Times New Roman" w:hAnsi="Times New Roman"/>
          <w:sz w:val="20"/>
        </w:rPr>
        <w:t xml:space="preserve">” means Regulation T of the Federal Reserve Board, as in effect from time to time and all official rulings and interpretations thereunder or thereof. </w:t>
      </w:r>
    </w:p>
    <w:p>
      <w:pPr>
        <w:pStyle w:val="TextBody"/>
        <w:bidi w:val="0"/>
        <w:spacing w:before="120" w:after="0"/>
        <w:jc w:val="left"/>
        <w:rPr/>
      </w:pPr>
      <w:r>
        <w:rPr/>
        <w:t>“</w:t>
      </w:r>
      <w:r>
        <w:rPr>
          <w:rFonts w:ascii="Times New Roman" w:hAnsi="Times New Roman"/>
          <w:sz w:val="20"/>
          <w:u w:val="single"/>
        </w:rPr>
        <w:t>Regulation U</w:t>
      </w:r>
      <w:r>
        <w:rPr>
          <w:rFonts w:ascii="Times New Roman" w:hAnsi="Times New Roman"/>
          <w:sz w:val="20"/>
        </w:rPr>
        <w:t xml:space="preserve">” means Regulation U of the Federal Reserve Board, as in effect from time to time and all official rulings and interpretations thereunder or thereof. </w:t>
      </w:r>
    </w:p>
    <w:p>
      <w:pPr>
        <w:pStyle w:val="TextBody"/>
        <w:bidi w:val="0"/>
        <w:spacing w:before="120" w:after="0"/>
        <w:jc w:val="left"/>
        <w:rPr/>
      </w:pPr>
      <w:r>
        <w:rPr/>
        <w:t>“</w:t>
      </w:r>
      <w:r>
        <w:rPr>
          <w:rFonts w:ascii="Times New Roman" w:hAnsi="Times New Roman"/>
          <w:sz w:val="20"/>
          <w:u w:val="single"/>
        </w:rPr>
        <w:t>Regulation X</w:t>
      </w:r>
      <w:r>
        <w:rPr>
          <w:rFonts w:ascii="Times New Roman" w:hAnsi="Times New Roman"/>
          <w:sz w:val="20"/>
        </w:rPr>
        <w:t xml:space="preserve">” means Regulation X of the Federal Reserve Board, as in effect from time to time and all official rulings and interpretations thereunder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officers, partners, members, trustees, employees, agents, administrators, managers, representatives and advisors of such Person and such Person’s Affiliates. </w:t>
      </w:r>
    </w:p>
    <w:p>
      <w:pPr>
        <w:pStyle w:val="TextBody"/>
        <w:bidi w:val="0"/>
        <w:spacing w:before="120" w:after="0"/>
        <w:jc w:val="left"/>
        <w:rPr/>
      </w:pPr>
      <w:r>
        <w:rPr/>
        <w:t>“</w:t>
      </w:r>
      <w:r>
        <w:rPr>
          <w:rFonts w:ascii="Times New Roman" w:hAnsi="Times New Roman"/>
          <w:sz w:val="20"/>
          <w:u w:val="single"/>
        </w:rPr>
        <w:t>Release</w:t>
      </w:r>
      <w:r>
        <w:rPr>
          <w:rFonts w:ascii="Times New Roman" w:hAnsi="Times New Roman"/>
          <w:sz w:val="20"/>
        </w:rPr>
        <w:t xml:space="preserve">” means any releasing, spilling, leaking, pumping, pouring, emitting, emptying, discharging, injecting, escaping, leaching, migrating, disposing, or dumping of any substance into or through the environment. </w:t>
      </w:r>
    </w:p>
    <w:p>
      <w:pPr>
        <w:pStyle w:val="TextBody"/>
        <w:bidi w:val="0"/>
        <w:spacing w:before="120" w:after="0"/>
        <w:jc w:val="left"/>
        <w:rPr/>
      </w:pPr>
      <w:r>
        <w:rPr/>
        <w:t>“</w:t>
      </w:r>
      <w:r>
        <w:rPr>
          <w:rFonts w:ascii="Times New Roman" w:hAnsi="Times New Roman"/>
          <w:sz w:val="20"/>
          <w:u w:val="single"/>
        </w:rPr>
        <w:t>Relevant Governmental Body</w:t>
      </w:r>
      <w:r>
        <w:rPr>
          <w:rFonts w:ascii="Times New Roman" w:hAnsi="Times New Roman"/>
          <w:sz w:val="20"/>
        </w:rPr>
        <w:t xml:space="preserve">” means (a)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(b) with respect to a Benchmark Replacement in respect of Loans denominated in Canadian Dollars, the Bank of Canada, or a committee officially endorsed or convened by the Bank of Canada or, in each case, any successor thereto and (c) with respect to a Benchmark Replacement in respect of any other currency, (i) the central bank for the currency in which such Benchmark Replacement is denominated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Benchmark Replacement is denominated, (B) any central bank or other supervisor that is responsible for supervising either (1) such Benchmark Replacement or (2) the administrator of such Benchmark Replacement, (C) a group of those central banks or other supervisors or (D) the Financial Stability Board or any part thereof. </w:t>
      </w:r>
    </w:p>
    <w:p>
      <w:pPr>
        <w:pStyle w:val="TextBody"/>
        <w:bidi w:val="0"/>
        <w:spacing w:before="120" w:after="0"/>
        <w:jc w:val="left"/>
        <w:rPr/>
      </w:pPr>
      <w:r>
        <w:rPr/>
        <w:t>“</w:t>
      </w:r>
      <w:r>
        <w:rPr>
          <w:rFonts w:ascii="Times New Roman" w:hAnsi="Times New Roman"/>
          <w:sz w:val="20"/>
          <w:u w:val="single"/>
        </w:rPr>
        <w:t>Relevant Rate</w:t>
      </w:r>
      <w:r>
        <w:rPr>
          <w:rFonts w:ascii="Times New Roman" w:hAnsi="Times New Roman"/>
          <w:sz w:val="20"/>
        </w:rPr>
        <w:t xml:space="preserve">” means (i) with respect to any Term Benchmark Borrowing denominated in Dollars, the Adjusted Term SOFR Rate, (ii) with respect to any RFR Borrowing denominated in Dollars, Adjusted Daily Simple SOFR, (iii) with respect to any Term Benchmark Borrowing denominated in Canadian Dollars, Term CORRA and (iv) with respect to any RFR Borrowing denominated in Canadian Dollars, Adjusted Daily Simple CORRA, as applicable. </w:t>
      </w:r>
    </w:p>
    <w:p>
      <w:pPr>
        <w:pStyle w:val="TextBody"/>
        <w:bidi w:val="0"/>
        <w:spacing w:before="120" w:after="0"/>
        <w:jc w:val="left"/>
        <w:rPr/>
      </w:pPr>
      <w:r>
        <w:rPr/>
        <w:t>“</w:t>
      </w:r>
      <w:r>
        <w:rPr>
          <w:rFonts w:ascii="Times New Roman" w:hAnsi="Times New Roman"/>
          <w:sz w:val="20"/>
          <w:u w:val="single"/>
        </w:rPr>
        <w:t>Relevant Screen Rate</w:t>
      </w:r>
      <w:r>
        <w:rPr>
          <w:rFonts w:ascii="Times New Roman" w:hAnsi="Times New Roman"/>
          <w:sz w:val="20"/>
        </w:rPr>
        <w:t xml:space="preserve">” means (i) with respect to any Term Benchmark Borrowing denominated in Dollars, the Term SOFR Reference Rate, or (ii) with respect to any Term Benchmark Borrowing denominated in Canadian Dollars, Term CORRA, as applicable. </w:t>
      </w:r>
    </w:p>
    <w:p>
      <w:pPr>
        <w:pStyle w:val="TextBody"/>
        <w:bidi w:val="0"/>
        <w:spacing w:before="120" w:after="0"/>
        <w:jc w:val="left"/>
        <w:rPr/>
      </w:pPr>
      <w:r>
        <w:rPr/>
        <w:t>“</w:t>
      </w:r>
      <w:r>
        <w:rPr>
          <w:rFonts w:ascii="Times New Roman" w:hAnsi="Times New Roman"/>
          <w:sz w:val="20"/>
          <w:u w:val="single"/>
        </w:rPr>
        <w:t>Report</w:t>
      </w:r>
      <w:r>
        <w:rPr>
          <w:rFonts w:ascii="Times New Roman" w:hAnsi="Times New Roman"/>
          <w:sz w:val="20"/>
        </w:rPr>
        <w:t xml:space="preserve">” means reports prepared by the Administrative Agent or another Person showing the results of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w:t>
      </w:r>
    </w:p>
    <w:p>
      <w:pPr>
        <w:pStyle w:val="TextBody"/>
        <w:bidi w:val="0"/>
        <w:spacing w:before="120" w:after="0"/>
        <w:jc w:val="left"/>
        <w:rPr/>
      </w:pPr>
      <w:r>
        <w:rPr/>
        <w:t>“</w:t>
      </w:r>
      <w:r>
        <w:rPr>
          <w:rFonts w:ascii="Times New Roman" w:hAnsi="Times New Roman"/>
          <w:sz w:val="20"/>
          <w:u w:val="single"/>
        </w:rPr>
        <w:t>Required Lenders</w:t>
      </w:r>
      <w:r>
        <w:rPr>
          <w:rFonts w:ascii="Times New Roman" w:hAnsi="Times New Roman"/>
          <w:sz w:val="20"/>
        </w:rPr>
        <w:t xml:space="preserve">” means, subject to Section 2.20: (a) at any time prior to the earlier of the Loans becoming due and payable pursuant to Section 7.02 or the Commitments terminating or expiring, Lenders having Credit Exposures and Unfunded Revolving Commitments representing more than 50% of the sum of the Aggregate Credit Exposure and aggregate Unfunded Revolving Commitments at such time, </w:t>
      </w:r>
      <w:r>
        <w:rPr>
          <w:rFonts w:ascii="Times New Roman" w:hAnsi="Times New Roman"/>
          <w:sz w:val="20"/>
          <w:u w:val="single"/>
        </w:rPr>
        <w:t>provided</w:t>
      </w:r>
      <w:r>
        <w:rPr>
          <w:rFonts w:ascii="Times New Roman" w:hAnsi="Times New Roman"/>
          <w:sz w:val="20"/>
        </w:rPr>
        <w:t xml:space="preserve"> that, solely for purposes of declaring the Loans to be due and payable pursuant to Section 7.02, the Unfunded Revolving Commitment of each Lender shall be deemed to be zero in determining the Required Lenders; and (b) for all purposes after the Loans become due and payable pursuant to Section 7.02 or the Commitments expire or terminate, Lenders having Credit Exposures representing more than 50% of the sum of the Aggregate Credit Exposure at such time; </w:t>
      </w:r>
      <w:r>
        <w:rPr>
          <w:rFonts w:ascii="Times New Roman" w:hAnsi="Times New Roman"/>
          <w:sz w:val="20"/>
          <w:u w:val="single"/>
        </w:rPr>
        <w:t>provided</w:t>
      </w:r>
      <w:r>
        <w:rPr>
          <w:rFonts w:ascii="Times New Roman" w:hAnsi="Times New Roman"/>
          <w:sz w:val="20"/>
        </w:rPr>
        <w:t xml:space="preserve"> that, in the case of clauses (a) and (b) above, (i) the Revolving Exposure of any Lender that is the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Revolving Commitment of such Lender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determined on the basis of its Revolving Exposure excluding such excess amount and (ii) for the purpose of determining the Required Lenders needed for any waiver, amendment, modification or consent of or under this Agreement or any other Loan Document, any Affiliate Lender shall be disregarded except as expressly permitted under Section 9.04(f). </w:t>
      </w:r>
    </w:p>
    <w:p>
      <w:pPr>
        <w:pStyle w:val="TextBody"/>
        <w:bidi w:val="0"/>
        <w:spacing w:before="120" w:after="0"/>
        <w:jc w:val="left"/>
        <w:rPr/>
      </w:pPr>
      <w:r>
        <w:rPr/>
        <w:t>“</w:t>
      </w:r>
      <w:r>
        <w:rPr>
          <w:rFonts w:ascii="Times New Roman" w:hAnsi="Times New Roman"/>
          <w:sz w:val="20"/>
          <w:u w:val="single"/>
        </w:rPr>
        <w:t>Requirement of Law</w:t>
      </w:r>
      <w:r>
        <w:rPr>
          <w:rFonts w:ascii="Times New Roman" w:hAnsi="Times New Roman"/>
          <w:sz w:val="20"/>
        </w:rPr>
        <w:t xml:space="preserve">”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 </w:t>
      </w:r>
    </w:p>
    <w:p>
      <w:pPr>
        <w:pStyle w:val="TextBody"/>
        <w:bidi w:val="0"/>
        <w:spacing w:before="12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120" w:after="0"/>
        <w:jc w:val="left"/>
        <w:rPr/>
      </w:pPr>
      <w:r>
        <w:rPr/>
        <w:t>“</w:t>
      </w:r>
      <w:r>
        <w:rPr>
          <w:rFonts w:ascii="Times New Roman" w:hAnsi="Times New Roman"/>
          <w:sz w:val="20"/>
          <w:u w:val="single"/>
        </w:rPr>
        <w:t>Responsible Officer</w:t>
      </w:r>
      <w:r>
        <w:rPr>
          <w:rFonts w:ascii="Times New Roman" w:hAnsi="Times New Roman"/>
          <w:sz w:val="20"/>
        </w:rPr>
        <w:t>” means the president, Financial Officer or other executive officer of a Borrower</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Restricted Debt” has the meaning assigned to such term in Section 6.08(b).</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Restricted Payment</w:t>
      </w:r>
      <w:r>
        <w:rPr>
          <w:rFonts w:ascii="Times New Roman" w:hAnsi="Times New Roman"/>
          <w:sz w:val="20"/>
        </w:rPr>
        <w:t>” means any dividend or other distribution (whether in cash, securities or other property) with respect to any Equity Interest in any Borrower or any Restricted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r>
        <w:rPr>
          <w:rFonts w:ascii="Times New Roman" w:hAnsi="Times New Roman"/>
          <w:color w:val="0000FF"/>
          <w:sz w:val="20"/>
          <w:u w:val="single"/>
          <w:bdr w:val="double" w:sz="2" w:space="1" w:color="000000"/>
        </w:rPr>
        <w:t>; provided that, for the avoidance of doubt, the Sponsor Equity Injection shall not constitute a Restricted Payment for any purpose under this Agreement or any other Loan Document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Restricted Subsidiary</w:t>
      </w:r>
      <w:r>
        <w:rPr>
          <w:rFonts w:ascii="Times New Roman" w:hAnsi="Times New Roman"/>
          <w:sz w:val="20"/>
        </w:rPr>
        <w:t xml:space="preserve">” means, at any time, any Subsidiary other than an Unrestricted Subsidiary. </w:t>
      </w:r>
    </w:p>
    <w:p>
      <w:pPr>
        <w:pStyle w:val="TextBody"/>
        <w:bidi w:val="0"/>
        <w:spacing w:before="120" w:after="0"/>
        <w:jc w:val="left"/>
        <w:rPr/>
      </w:pPr>
      <w:r>
        <w:rPr/>
        <w:t>“</w:t>
      </w:r>
      <w:r>
        <w:rPr>
          <w:rFonts w:ascii="Times New Roman" w:hAnsi="Times New Roman"/>
          <w:sz w:val="20"/>
          <w:u w:val="single"/>
        </w:rPr>
        <w:t>Returns</w:t>
      </w:r>
      <w:r>
        <w:rPr>
          <w:rFonts w:ascii="Times New Roman" w:hAnsi="Times New Roman"/>
          <w:sz w:val="20"/>
        </w:rPr>
        <w:t xml:space="preserve">” means, with respect to any investment, any dividend, distribution, interest, fee, premium, return of capital, repayment of principal, income, profit (from a Disposition or otherwise) and any other amount received or realized in respect thereof. </w:t>
      </w:r>
    </w:p>
    <w:p>
      <w:pPr>
        <w:pStyle w:val="TextBody"/>
        <w:bidi w:val="0"/>
        <w:spacing w:before="120" w:after="0"/>
        <w:jc w:val="left"/>
        <w:rPr/>
      </w:pPr>
      <w:r>
        <w:rPr/>
        <w:t>“</w:t>
      </w:r>
      <w:r>
        <w:rPr>
          <w:rFonts w:ascii="Times New Roman" w:hAnsi="Times New Roman"/>
          <w:sz w:val="20"/>
          <w:u w:val="single"/>
        </w:rPr>
        <w:t>Reuters</w:t>
      </w:r>
      <w:r>
        <w:rPr>
          <w:rFonts w:ascii="Times New Roman" w:hAnsi="Times New Roman"/>
          <w:sz w:val="20"/>
        </w:rPr>
        <w:t xml:space="preserve">” means, as applicable, Thomson Reuters Corp., Refinitiv, or any successor thereto. </w:t>
      </w:r>
    </w:p>
    <w:p>
      <w:pPr>
        <w:pStyle w:val="TextBody"/>
        <w:bidi w:val="0"/>
        <w:spacing w:before="120" w:after="0"/>
        <w:jc w:val="left"/>
        <w:rPr/>
      </w:pPr>
      <w:r>
        <w:rPr/>
        <w:t>“</w:t>
      </w:r>
      <w:r>
        <w:rPr>
          <w:rFonts w:ascii="Times New Roman" w:hAnsi="Times New Roman"/>
          <w:sz w:val="20"/>
          <w:u w:val="single"/>
        </w:rPr>
        <w:t>Revaluation Date</w:t>
      </w:r>
      <w:r>
        <w:rPr>
          <w:rFonts w:ascii="Times New Roman" w:hAnsi="Times New Roman"/>
          <w:sz w:val="20"/>
        </w:rPr>
        <w:t xml:space="preserve">” shall mean (a) with respect to any Loan denominated in any Alternative Currency, each of the following: (i) the date of the Borrowing of such Loan and (ii) each date of a conversion into or continuation of such Loan pursuant to the terms of this Agreement;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 </w:t>
      </w:r>
    </w:p>
    <w:p>
      <w:pPr>
        <w:pStyle w:val="TextBody"/>
        <w:bidi w:val="0"/>
        <w:spacing w:before="12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amount set forth on the </w:t>
      </w:r>
      <w:r>
        <w:rPr>
          <w:rFonts w:ascii="Times New Roman" w:hAnsi="Times New Roman"/>
          <w:sz w:val="20"/>
          <w:u w:val="single"/>
        </w:rPr>
        <w:t>Commitment Schedule</w:t>
      </w:r>
      <w:r>
        <w:rPr>
          <w:rFonts w:ascii="Times New Roman" w:hAnsi="Times New Roman"/>
          <w:sz w:val="20"/>
        </w:rPr>
        <w:t xml:space="preserve"> opposite such Lender’s name as a “Revolving Commitment” or in the Assignment and Assumption or other documentation or record (as such term is defined in Section 9-102(a)(70) of the New York UCC) as provided in Section 9.04(b)(ii)(C), pursuant to which such Lender shall have assumed its Revolving Commitment pursuant to the terms hereof, as applicable, as such Revolving Commitment may be reduced or increased from time to time pursuant to (a) Section 2.09 and (b) assignments by or to such Lender pursuant to Section 9.04; </w:t>
      </w:r>
      <w:r>
        <w:rPr>
          <w:rFonts w:ascii="Times New Roman" w:hAnsi="Times New Roman"/>
          <w:sz w:val="20"/>
          <w:u w:val="single"/>
        </w:rPr>
        <w:t>provided</w:t>
      </w:r>
      <w:r>
        <w:rPr>
          <w:rFonts w:ascii="Times New Roman" w:hAnsi="Times New Roman"/>
          <w:sz w:val="20"/>
        </w:rPr>
        <w:t xml:space="preserve"> that at no time shall the Revolving Exposure of any Lender exceed its Revolving Commitment. The initial aggregate amount of the Lenders’ Revolving Commitments as of the Effective Date is $400,000,000.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Revolving Credit Maturity Date</w:t>
      </w:r>
      <w:r>
        <w:rPr>
          <w:rFonts w:ascii="Times New Roman" w:hAnsi="Times New Roman"/>
          <w:sz w:val="20"/>
        </w:rPr>
        <w:t xml:space="preserve">” means December 18, 2030 (if the same is a Business Day, or if not then the immediately next succeeding Business Day), or any earlier date on which the Revolving Commitments are reduced to zero or otherwise terminated pursuant to the terms hereof. </w:t>
      </w:r>
    </w:p>
    <w:p>
      <w:pPr>
        <w:pStyle w:val="TextBody"/>
        <w:bidi w:val="0"/>
        <w:spacing w:before="120" w:after="0"/>
        <w:jc w:val="left"/>
        <w:rPr/>
      </w:pPr>
      <w:r>
        <w:rPr/>
        <w:t>“</w:t>
      </w:r>
      <w:r>
        <w:rPr>
          <w:rFonts w:ascii="Times New Roman" w:hAnsi="Times New Roman"/>
          <w:sz w:val="20"/>
          <w:u w:val="single"/>
        </w:rPr>
        <w:t>Revolving Exposure</w:t>
      </w:r>
      <w:r>
        <w:rPr>
          <w:rFonts w:ascii="Times New Roman" w:hAnsi="Times New Roman"/>
          <w:sz w:val="20"/>
        </w:rPr>
        <w:t xml:space="preserve">” means, with respect to any Lender, at any time, the sum of the aggregate outstanding principal Dollar Equivalent amount of such Lender’s Revolving Loans, its LC Exposure and its Swingline Exposure at such time. </w:t>
      </w:r>
    </w:p>
    <w:p>
      <w:pPr>
        <w:pStyle w:val="TextBody"/>
        <w:bidi w:val="0"/>
        <w:spacing w:before="120" w:after="0"/>
        <w:jc w:val="left"/>
        <w:rPr/>
      </w:pPr>
      <w:r>
        <w:rPr/>
        <w:t>“</w:t>
      </w:r>
      <w:r>
        <w:rPr>
          <w:rFonts w:ascii="Times New Roman" w:hAnsi="Times New Roman"/>
          <w:sz w:val="20"/>
          <w:u w:val="single"/>
        </w:rPr>
        <w:t>Revolving Lender</w:t>
      </w:r>
      <w:r>
        <w:rPr>
          <w:rFonts w:ascii="Times New Roman" w:hAnsi="Times New Roman"/>
          <w:sz w:val="20"/>
        </w:rPr>
        <w:t xml:space="preserve">” means, as of any date of determination, a Lender with a Revolving Commitment or, if the Revolving Commitments have terminated or expired, a Lender with Revolving Exposure. </w:t>
      </w:r>
    </w:p>
    <w:p>
      <w:pPr>
        <w:pStyle w:val="TextBody"/>
        <w:bidi w:val="0"/>
        <w:spacing w:before="120" w:after="0"/>
        <w:jc w:val="left"/>
        <w:rPr/>
      </w:pPr>
      <w:r>
        <w:rPr/>
        <w:t>“</w:t>
      </w:r>
      <w:r>
        <w:rPr>
          <w:rFonts w:ascii="Times New Roman" w:hAnsi="Times New Roman"/>
          <w:sz w:val="20"/>
          <w:u w:val="single"/>
        </w:rPr>
        <w:t>Revolving Loan</w:t>
      </w:r>
      <w:r>
        <w:rPr>
          <w:rFonts w:ascii="Times New Roman" w:hAnsi="Times New Roman"/>
          <w:sz w:val="20"/>
        </w:rPr>
        <w:t xml:space="preserve">” means a Loan made pursuant to Section 2.01(a). </w:t>
      </w:r>
    </w:p>
    <w:p>
      <w:pPr>
        <w:pStyle w:val="TextBody"/>
        <w:bidi w:val="0"/>
        <w:spacing w:before="120" w:after="0"/>
        <w:jc w:val="left"/>
        <w:rPr/>
      </w:pPr>
      <w:r>
        <w:rPr/>
        <w:t>“</w:t>
      </w:r>
      <w:r>
        <w:rPr>
          <w:rFonts w:ascii="Times New Roman" w:hAnsi="Times New Roman"/>
          <w:sz w:val="20"/>
          <w:u w:val="single"/>
        </w:rPr>
        <w:t>RFR</w:t>
      </w:r>
      <w:r>
        <w:rPr>
          <w:rFonts w:ascii="Times New Roman" w:hAnsi="Times New Roman"/>
          <w:sz w:val="20"/>
        </w:rPr>
        <w:t xml:space="preserve">” when used in reference to any Loan or Borrowing, refers to whether such Loan, or the Loans comprising such Borrowing, are bearing interest at a rate determined by reference to (i) for any Loan or Borrowing denominated in Dollars, the Adjusted Daily Simple SOFR and (ii) for any Loan or Borrowing denominated in Canadian Dollars (solely following a Benchmark Transition Event and a Benchmark Replacement Date with respect to Term CORRA), Daily Simple CORRA (excluding, for the avoidance of doubt, any ABR Loan or Borrowing). </w:t>
      </w:r>
    </w:p>
    <w:p>
      <w:pPr>
        <w:pStyle w:val="TextBody"/>
        <w:bidi w:val="0"/>
        <w:spacing w:before="12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Standard &amp; Poor’s Financial Services LLC business. </w:t>
      </w:r>
    </w:p>
    <w:p>
      <w:pPr>
        <w:pStyle w:val="TextBody"/>
        <w:bidi w:val="0"/>
        <w:spacing w:before="120" w:after="0"/>
        <w:jc w:val="left"/>
        <w:rPr/>
      </w:pPr>
      <w:r>
        <w:rPr/>
        <w:t>“</w:t>
      </w:r>
      <w:r>
        <w:rPr>
          <w:rFonts w:ascii="Times New Roman" w:hAnsi="Times New Roman"/>
          <w:sz w:val="20"/>
          <w:u w:val="single"/>
        </w:rPr>
        <w:t>Sale and Leaseback Transaction</w:t>
      </w:r>
      <w:r>
        <w:rPr>
          <w:rFonts w:ascii="Times New Roman" w:hAnsi="Times New Roman"/>
          <w:sz w:val="20"/>
        </w:rPr>
        <w:t xml:space="preserve">” has the meaning assigned to such term in Section 6.06. </w:t>
      </w:r>
    </w:p>
    <w:p>
      <w:pPr>
        <w:pStyle w:val="TextBody"/>
        <w:bidi w:val="0"/>
        <w:spacing w:before="12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region or territory which is itself the subject or target of any comprehensive Sanctions (including, at the time of this Agreement, the so-called Donetsk People’s Republic, the so-called Luhansk People’s Republic, the Crimea Region of Ukraine, Cuba, Iran, North Korea and Syria). </w:t>
      </w:r>
    </w:p>
    <w:p>
      <w:pPr>
        <w:pStyle w:val="TextBody"/>
        <w:bidi w:val="0"/>
        <w:spacing w:before="120" w:after="0"/>
        <w:jc w:val="left"/>
        <w:rPr/>
      </w:pPr>
      <w:r>
        <w:rPr/>
        <w:t>“</w:t>
      </w:r>
      <w:r>
        <w:rPr>
          <w:rFonts w:ascii="Times New Roman" w:hAnsi="Times New Roman"/>
          <w:sz w:val="20"/>
          <w:u w:val="single"/>
        </w:rPr>
        <w:t>Sanctioned Person</w:t>
      </w:r>
      <w:r>
        <w:rPr>
          <w:rFonts w:ascii="Times New Roman" w:hAnsi="Times New Roman"/>
          <w:sz w:val="20"/>
        </w:rPr>
        <w:t xml:space="preserve">” means, at any time, any Person that is the subject or target of Sanctions, including, (a) any Person listed in any Sanctions-related list of designated Persons maintained by the U.S. government, including by OFAC, the U.S. Department of State, the Government of Canada pursuant to, or as described in, any applicable Canadian Economic Sanctions and Export Control Laws, or by the United Nations Security Council, the European Union, any European Union member state, His Majesty’s Treasury of the United Kingdom or other relevant sanctions authority with jurisdiction over the parties to the Agreement, (b) any Person operating, organized or resident in a Sanctioned Country or (c) any Person 50%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w:t>
      </w:r>
    </w:p>
    <w:p>
      <w:pPr>
        <w:pStyle w:val="TextBody"/>
        <w:bidi w:val="0"/>
        <w:spacing w:before="120" w:after="0"/>
        <w:jc w:val="left"/>
        <w:rPr/>
      </w:pPr>
      <w:r>
        <w:rPr/>
        <w:t>“</w:t>
      </w:r>
      <w:r>
        <w:rPr>
          <w:rFonts w:ascii="Times New Roman" w:hAnsi="Times New Roman"/>
          <w:sz w:val="20"/>
          <w:u w:val="single"/>
        </w:rPr>
        <w:t>Sanctions</w:t>
      </w:r>
      <w:r>
        <w:rPr>
          <w:rFonts w:ascii="Times New Roman" w:hAnsi="Times New Roman"/>
          <w:sz w:val="20"/>
        </w:rPr>
        <w:t xml:space="preserve">” means all economic or financial sanctions or trade embargoes or similar restrictions imposed, administered or enforced from time to time by (a) the U.S. government, including those administered by OFAC or the U.S. Department of State, or (b) the Government of Canada, the United Nations Security Council, the European Union, any European Union member state or His Majesty’s Treasury of the United Kingdom or other relevant sanctions authority with jurisdiction over the parties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of the U.S. </w:t>
      </w:r>
    </w:p>
    <w:p>
      <w:pPr>
        <w:pStyle w:val="TextBody"/>
        <w:bidi w:val="0"/>
        <w:spacing w:before="120" w:after="0"/>
        <w:jc w:val="left"/>
        <w:rPr/>
      </w:pPr>
      <w:r>
        <w:rPr/>
        <w:t>“</w:t>
      </w:r>
      <w:r>
        <w:rPr>
          <w:rFonts w:ascii="Times New Roman" w:hAnsi="Times New Roman"/>
          <w:sz w:val="20"/>
          <w:u w:val="single"/>
        </w:rPr>
        <w:t>Secured Net Leverage Ratio</w:t>
      </w:r>
      <w:r>
        <w:rPr>
          <w:rFonts w:ascii="Times New Roman" w:hAnsi="Times New Roman"/>
          <w:sz w:val="20"/>
        </w:rPr>
        <w:t xml:space="preserve">” means, on any date, the ratio of (a) Total Indebtedness that is secured by a Lien on the assets of the Loan Parties on such date </w:t>
      </w:r>
      <w:r>
        <w:rPr>
          <w:rFonts w:ascii="Times New Roman" w:hAnsi="Times New Roman"/>
          <w:i/>
          <w:sz w:val="20"/>
          <w:u w:val="single"/>
        </w:rPr>
        <w:t>minus</w:t>
      </w:r>
      <w:r>
        <w:rPr>
          <w:rFonts w:ascii="Times New Roman" w:hAnsi="Times New Roman"/>
          <w:sz w:val="20"/>
        </w:rPr>
        <w:t xml:space="preserve"> Unrestricted Cash as of such date in an amount not to exceed </w:t>
      </w:r>
      <w:r>
        <w:rPr>
          <w:rFonts w:ascii="Times New Roman" w:hAnsi="Times New Roman"/>
          <w:strike/>
          <w:color w:val="FF0000"/>
          <w:sz w:val="20"/>
        </w:rPr>
        <w:t>$100,000,000</w:t>
      </w:r>
      <w:r>
        <w:rPr>
          <w:rFonts w:ascii="Times New Roman" w:hAnsi="Times New Roman"/>
          <w:color w:val="0000FF"/>
          <w:sz w:val="20"/>
          <w:u w:val="single"/>
          <w:bdr w:val="double" w:sz="2" w:space="1" w:color="000000"/>
        </w:rPr>
        <w:t>(x) at any time on or prior to the date that is six (6) months after the First Amendment Date, $300,000,000 and (y) at any time thereafter, $200,000,000</w:t>
      </w:r>
      <w:r>
        <w:rPr>
          <w:rFonts w:ascii="Times New Roman" w:hAnsi="Times New Roman"/>
          <w:sz w:val="20"/>
        </w:rPr>
        <w:t xml:space="preserve"> to (b) EBITDA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on or prior to such date. Operating leases that are reflected on the consolidated balance sheet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excluded for purposes of calculating the Secured Net Leverage Ratio. </w:t>
      </w:r>
    </w:p>
    <w:p>
      <w:pPr>
        <w:pStyle w:val="TextBody"/>
        <w:bidi w:val="0"/>
        <w:spacing w:before="120" w:after="0"/>
        <w:jc w:val="left"/>
        <w:rPr/>
      </w:pPr>
      <w:r>
        <w:rPr/>
        <w:t>“</w:t>
      </w:r>
      <w:r>
        <w:rPr>
          <w:rFonts w:ascii="Times New Roman" w:hAnsi="Times New Roman"/>
          <w:sz w:val="20"/>
          <w:u w:val="single"/>
        </w:rPr>
        <w:t>Secured Obligations</w:t>
      </w:r>
      <w:r>
        <w:rPr>
          <w:rFonts w:ascii="Times New Roman" w:hAnsi="Times New Roman"/>
          <w:sz w:val="20"/>
        </w:rPr>
        <w:t xml:space="preserve">” means, all Obligations, together with all Banking Services Obligations and Swap Agreement Obligations owing to one or more Lenders or their respective Affiliates; </w:t>
      </w:r>
      <w:r>
        <w:rPr>
          <w:rFonts w:ascii="Times New Roman" w:hAnsi="Times New Roman"/>
          <w:sz w:val="20"/>
          <w:u w:val="single"/>
        </w:rPr>
        <w:t>provided</w:t>
      </w:r>
      <w:r>
        <w:rPr>
          <w:rFonts w:ascii="Times New Roman" w:hAnsi="Times New Roman"/>
          <w:sz w:val="20"/>
        </w:rPr>
        <w:t xml:space="preserve">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 </w:t>
      </w:r>
    </w:p>
    <w:p>
      <w:pPr>
        <w:pStyle w:val="TextBody"/>
        <w:bidi w:val="0"/>
        <w:spacing w:before="120" w:after="0"/>
        <w:jc w:val="left"/>
        <w:rPr/>
      </w:pPr>
      <w:r>
        <w:rPr/>
        <w:t>“</w:t>
      </w:r>
      <w:r>
        <w:rPr>
          <w:rFonts w:ascii="Times New Roman" w:hAnsi="Times New Roman"/>
          <w:sz w:val="20"/>
          <w:u w:val="single"/>
        </w:rPr>
        <w:t>Secured Parties</w:t>
      </w:r>
      <w:r>
        <w:rPr>
          <w:rFonts w:ascii="Times New Roman" w:hAnsi="Times New Roman"/>
          <w:sz w:val="20"/>
        </w:rPr>
        <w:t xml:space="preserve">” means (a) the Lenders, (b) the Administrative Agent,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 </w:t>
      </w:r>
    </w:p>
    <w:p>
      <w:pPr>
        <w:pStyle w:val="TextBody"/>
        <w:bidi w:val="0"/>
        <w:spacing w:before="120" w:after="0"/>
        <w:jc w:val="left"/>
        <w:rPr/>
      </w:pPr>
      <w:r>
        <w:rPr/>
        <w:t>“</w:t>
      </w:r>
      <w:r>
        <w:rPr>
          <w:rFonts w:ascii="Times New Roman" w:hAnsi="Times New Roman"/>
          <w:sz w:val="20"/>
          <w:u w:val="single"/>
        </w:rPr>
        <w:t>Security Agreements</w:t>
      </w:r>
      <w:r>
        <w:rPr>
          <w:rFonts w:ascii="Times New Roman" w:hAnsi="Times New Roman"/>
          <w:sz w:val="20"/>
        </w:rPr>
        <w:t xml:space="preserve">” means, collectively (i) the U.S. Security Agreement and (ii) the Canadian Security Agreement. </w:t>
      </w:r>
    </w:p>
    <w:p>
      <w:pPr>
        <w:pStyle w:val="TextBody"/>
        <w:bidi w:val="0"/>
        <w:spacing w:before="120" w:after="0"/>
        <w:jc w:val="left"/>
        <w:rPr/>
      </w:pPr>
      <w:r>
        <w:rPr/>
        <w:t>“</w:t>
      </w:r>
      <w:r>
        <w:rPr>
          <w:rFonts w:ascii="Times New Roman" w:hAnsi="Times New Roman"/>
          <w:sz w:val="20"/>
          <w:u w:val="single"/>
        </w:rPr>
        <w:t>SOFR</w:t>
      </w:r>
      <w:r>
        <w:rPr>
          <w:rFonts w:ascii="Times New Roman" w:hAnsi="Times New Roman"/>
          <w:sz w:val="20"/>
        </w:rPr>
        <w:t xml:space="preserve">” means a rate per annum equal to the secured overnight financing rate as administered by the SOFR Administrator. </w:t>
      </w:r>
    </w:p>
    <w:p>
      <w:pPr>
        <w:pStyle w:val="TextBody"/>
        <w:bidi w:val="0"/>
        <w:spacing w:before="120" w:after="0"/>
        <w:jc w:val="left"/>
        <w:rPr/>
      </w:pPr>
      <w:r>
        <w:rPr/>
        <w:t>“</w:t>
      </w:r>
      <w:r>
        <w:rPr>
          <w:rFonts w:ascii="Times New Roman" w:hAnsi="Times New Roman"/>
          <w:sz w:val="20"/>
          <w:u w:val="single"/>
        </w:rPr>
        <w:t>SOFR Administrator</w:t>
      </w:r>
      <w:r>
        <w:rPr>
          <w:rFonts w:ascii="Times New Roman" w:hAnsi="Times New Roman"/>
          <w:sz w:val="20"/>
        </w:rPr>
        <w:t xml:space="preserve">” means the NYFRB (or a successor administrator of the secured overnight financing rate). </w:t>
      </w:r>
    </w:p>
    <w:p>
      <w:pPr>
        <w:pStyle w:val="TextBody"/>
        <w:bidi w:val="0"/>
        <w:spacing w:before="12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NYFRB’s Website, currently at http://www.newyorkfed.org, or any successor source for the secured overnight financing rate identified as such by the SOFR Administrator from time to time. </w:t>
      </w:r>
    </w:p>
    <w:p>
      <w:pPr>
        <w:pStyle w:val="TextBody"/>
        <w:bidi w:val="0"/>
        <w:spacing w:before="120" w:after="0"/>
        <w:jc w:val="left"/>
        <w:rPr/>
      </w:pPr>
      <w:r>
        <w:rPr/>
        <w:t>“</w:t>
      </w:r>
      <w:r>
        <w:rPr>
          <w:rFonts w:ascii="Times New Roman" w:hAnsi="Times New Roman"/>
          <w:sz w:val="20"/>
          <w:u w:val="single"/>
        </w:rPr>
        <w:t>SOFR Rate Day</w:t>
      </w:r>
      <w:r>
        <w:rPr>
          <w:rFonts w:ascii="Times New Roman" w:hAnsi="Times New Roman"/>
          <w:sz w:val="20"/>
        </w:rPr>
        <w:t xml:space="preserve">” has the meaning assigned to it under the definition of Daily Simple SOFR. </w:t>
      </w:r>
    </w:p>
    <w:p>
      <w:pPr>
        <w:pStyle w:val="TextBody"/>
        <w:bidi w:val="0"/>
        <w:spacing w:before="120" w:after="0"/>
        <w:jc w:val="left"/>
        <w:rPr/>
      </w:pPr>
      <w:r>
        <w:rPr/>
        <w:t>“</w:t>
      </w:r>
      <w:r>
        <w:rPr>
          <w:rFonts w:ascii="Times New Roman" w:hAnsi="Times New Roman"/>
          <w:sz w:val="20"/>
          <w:u w:val="single"/>
        </w:rPr>
        <w:t>Specified Equity Contribution</w:t>
      </w:r>
      <w:r>
        <w:rPr>
          <w:rFonts w:ascii="Times New Roman" w:hAnsi="Times New Roman"/>
          <w:sz w:val="20"/>
        </w:rPr>
        <w:t xml:space="preserve">” has the meaning given such term in Section 7.03. </w:t>
      </w:r>
    </w:p>
    <w:p>
      <w:pPr>
        <w:pStyle w:val="TextBody"/>
        <w:bidi w:val="0"/>
        <w:spacing w:before="120" w:after="0"/>
        <w:jc w:val="left"/>
        <w:rPr/>
      </w:pPr>
      <w:r>
        <w:rPr/>
        <w:t>“</w:t>
      </w:r>
      <w:r>
        <w:rPr>
          <w:rFonts w:ascii="Times New Roman" w:hAnsi="Times New Roman"/>
          <w:sz w:val="20"/>
          <w:u w:val="single"/>
        </w:rPr>
        <w:t>Specified LCA Representations</w:t>
      </w:r>
      <w:r>
        <w:rPr>
          <w:rFonts w:ascii="Times New Roman" w:hAnsi="Times New Roman"/>
          <w:sz w:val="20"/>
        </w:rPr>
        <w:t xml:space="preserve">” means those representations and warranties made by or on behalf of the Company or the applicable Restricted Subsidiary in the applicable Limited Condition Acquisition Agreement as are material to the interests of the Lenders, but only to the extent that the applicable Loan Party or its Affiliates have the right to terminate, taking into account any cure provisions, the applicable Loan Party or its Affiliates’ obligations under such Limited Condition Acquisition Agreement or to decline to consummate the related Limited Condition Acquisition as a result of a breach of such representations and warranties in such Limited Condition Acquisition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Representations</w:t>
      </w:r>
      <w:r>
        <w:rPr>
          <w:rFonts w:ascii="Times New Roman" w:hAnsi="Times New Roman"/>
          <w:sz w:val="20"/>
        </w:rPr>
        <w:t xml:space="preserve">” means the representations and warranties of the Company and the other Loan Parties contained in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w:t>
      </w:r>
      <w:r>
        <w:rPr>
          <w:rFonts w:ascii="Times New Roman" w:hAnsi="Times New Roman"/>
          <w:sz w:val="20"/>
          <w:u w:val="single"/>
        </w:rPr>
        <w:t>3.03(b)</w:t>
      </w:r>
      <w:r>
        <w:rPr>
          <w:rFonts w:ascii="Times New Roman" w:hAnsi="Times New Roman"/>
          <w:sz w:val="20"/>
        </w:rPr>
        <w:t xml:space="preserve"> (solely that the use of proceeds will not violate the United States Foreign Corrupt Practices Act of 1977 or the USA PATRIOT Act), </w:t>
      </w:r>
      <w:r>
        <w:rPr>
          <w:rFonts w:ascii="Times New Roman" w:hAnsi="Times New Roman"/>
          <w:sz w:val="20"/>
          <w:u w:val="single"/>
        </w:rPr>
        <w:t>3.08</w:t>
      </w:r>
      <w:r>
        <w:rPr>
          <w:rFonts w:ascii="Times New Roman" w:hAnsi="Times New Roman"/>
          <w:sz w:val="20"/>
        </w:rPr>
        <w:t xml:space="preserve">, </w:t>
      </w:r>
      <w:r>
        <w:rPr>
          <w:rFonts w:ascii="Times New Roman" w:hAnsi="Times New Roman"/>
          <w:sz w:val="20"/>
          <w:u w:val="single"/>
        </w:rPr>
        <w:t>3.12</w:t>
      </w:r>
      <w:r>
        <w:rPr>
          <w:rFonts w:ascii="Times New Roman" w:hAnsi="Times New Roman"/>
          <w:sz w:val="20"/>
        </w:rPr>
        <w:t xml:space="preserve">, </w:t>
      </w:r>
      <w:r>
        <w:rPr>
          <w:rFonts w:ascii="Times New Roman" w:hAnsi="Times New Roman"/>
          <w:sz w:val="20"/>
          <w:u w:val="single"/>
        </w:rPr>
        <w:t>3.15</w:t>
      </w:r>
      <w:r>
        <w:rPr>
          <w:rFonts w:ascii="Times New Roman" w:hAnsi="Times New Roman"/>
          <w:color w:val="0000FF"/>
          <w:sz w:val="20"/>
          <w:u w:val="single"/>
          <w:bdr w:val="double" w:sz="2" w:space="1" w:color="000000"/>
        </w:rPr>
        <w:t xml:space="preserve"> (provided that the representations and warranties contained in Section 3.15 shall only be deemed to be Specified Representations in connection with a Limited Condition Acquisition with respect to which the proceeds of Loans will be used by a Loan Party to pay all or a portion of the purchase price consideration therefor)</w:t>
      </w:r>
      <w:r>
        <w:rPr>
          <w:rFonts w:ascii="Times New Roman" w:hAnsi="Times New Roman"/>
          <w:sz w:val="20"/>
        </w:rPr>
        <w:t xml:space="preserve">, </w:t>
      </w:r>
      <w:r>
        <w:rPr>
          <w:rFonts w:ascii="Times New Roman" w:hAnsi="Times New Roman"/>
          <w:sz w:val="20"/>
          <w:u w:val="single"/>
        </w:rPr>
        <w:t>3.17</w:t>
      </w:r>
      <w:r>
        <w:rPr>
          <w:rFonts w:ascii="Times New Roman" w:hAnsi="Times New Roman"/>
          <w:sz w:val="20"/>
        </w:rPr>
        <w:t xml:space="preserve">, </w:t>
      </w:r>
      <w:r>
        <w:rPr>
          <w:rFonts w:ascii="Times New Roman" w:hAnsi="Times New Roman"/>
          <w:sz w:val="20"/>
          <w:u w:val="single"/>
        </w:rPr>
        <w:t>3.18</w:t>
      </w:r>
      <w:r>
        <w:rPr>
          <w:rFonts w:ascii="Times New Roman" w:hAnsi="Times New Roman"/>
          <w:sz w:val="20"/>
        </w:rPr>
        <w:t xml:space="preserve"> </w:t>
      </w:r>
      <w:r>
        <w:rPr>
          <w:rFonts w:ascii="Times New Roman" w:hAnsi="Times New Roman"/>
          <w:color w:val="0000FF"/>
          <w:sz w:val="20"/>
          <w:u w:val="single"/>
          <w:bdr w:val="double" w:sz="2" w:space="1" w:color="000000"/>
        </w:rPr>
        <w:t>(solely with respect to Section 5.08(b))</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r>
        <w:rPr>
          <w:rFonts w:ascii="Times New Roman" w:hAnsi="Times New Roman"/>
          <w:color w:val="0000FF"/>
          <w:sz w:val="20"/>
          <w:u w:val="single"/>
          <w:bdr w:val="double" w:sz="2" w:space="1" w:color="000000"/>
        </w:rPr>
        <w:t>(solely that the use of proceeds will not violate applicable Anti-Corruption Laws or Sanctions)</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Specified Take-Private Transaction Merger Agreement Representations” means those representations and warranties made by or on behalf of the Company in the Take-Private Transaction Merger Agreement as are material to the interests of the Lenders, but only to the extent that ParentCo has the right to terminate, taking into account any cure provisions, ParentCo’s obligations under the Take-Private Transaction Merger Agreement or to decline to consummate the transaction described in clause (c) of the definition of the term Take-Private Transaction as a result of a breach of such representations and warranties in the Take-Private Transaction Merger Agreement.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means (i) Luther King Capital Management Corporation, (ii) investment vehicles managed or advised by Luther King Capital Management Corporation, (iii) any of their respective Affiliates that are controlled, directly or indirectly, by any of the Persons referred to in clauses (i) or (ii), and (iv) limited partners and funds or partnerships managed or advised by any of the Persons referred to in clauses (i) through (iii); provided that any portfolio company of any of the foregoing in Persons referred to in clauses (i) through (iii) shall be excluded.</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Equity Injection” means the (i) issuance by ParentCo of Equity Interests in a minimum aggregate amount of $125,000,000, and (ii) the substantially concurrent issuance by HoldCo of Equity Interests to ParentCo (which may be in the form of common stock or preferred stock of HoldCo that does not constitute Disqualified Stock or have any cash-pay coupon), the proceeds of which shall be contributed to the Company in connection with the funding and consummation of the Take-Private Transaction in a minimum aggregate amount of $125,000,000.</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Management Agreement” means the Management Agreement, dated as of the Effective Time, by and among the Company and Luther King Capital Management Corporation, as amended, restated, supplemented, replaced or modified from time to time in compliance with this Agreement, which shall be in form and substance reasonably satisfactory to the Administrative Agent (it being understood that the draft delivered to the Administrative Agent prior to the First Amendment Date shall be satisfactory to the Administrative Agent).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Sponsor Management Fees” means any management, monitoring, consulting, oversight, advisory and other similar fees (including transaction and termination fees and any fees in respect of financial advisory, financing, underwriting or placement services or in respect of other investment banking activities (including in connection with acquisitions or divestitures)).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Statements</w:t>
      </w:r>
      <w:r>
        <w:rPr>
          <w:rFonts w:ascii="Times New Roman" w:hAnsi="Times New Roman"/>
          <w:sz w:val="20"/>
        </w:rPr>
        <w:t xml:space="preserve">” has the meaning assigned to such term in Section 2.18(f). </w:t>
      </w:r>
    </w:p>
    <w:p>
      <w:pPr>
        <w:pStyle w:val="TextBody"/>
        <w:bidi w:val="0"/>
        <w:spacing w:before="120" w:after="0"/>
        <w:jc w:val="left"/>
        <w:rPr/>
      </w:pPr>
      <w:r>
        <w:rPr/>
        <w:t>“</w:t>
      </w:r>
      <w:r>
        <w:rPr>
          <w:rFonts w:ascii="Times New Roman" w:hAnsi="Times New Roman"/>
          <w:sz w:val="20"/>
          <w:u w:val="single"/>
        </w:rPr>
        <w:t>Subordinated Indebtedness</w:t>
      </w:r>
      <w:r>
        <w:rPr>
          <w:rFonts w:ascii="Times New Roman" w:hAnsi="Times New Roman"/>
          <w:sz w:val="20"/>
        </w:rPr>
        <w:t xml:space="preserve">” of a Person means any Indebtedness of such Person, the payment of which is subordinated to payment of the Secured Obligations to the written reasonable satisfaction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 </w:t>
      </w:r>
    </w:p>
    <w:p>
      <w:pPr>
        <w:pStyle w:val="TextBody"/>
        <w:bidi w:val="0"/>
        <w:spacing w:before="120" w:after="0"/>
        <w:jc w:val="left"/>
        <w:rPr/>
      </w:pPr>
      <w:r>
        <w:rPr/>
        <w:t>“</w:t>
      </w:r>
      <w:r>
        <w:rPr>
          <w:rFonts w:ascii="Times New Roman" w:hAnsi="Times New Roman"/>
          <w:sz w:val="20"/>
          <w:u w:val="single"/>
        </w:rPr>
        <w:t>Subsidiary</w:t>
      </w:r>
      <w:r>
        <w:rPr>
          <w:rFonts w:ascii="Times New Roman" w:hAnsi="Times New Roman"/>
          <w:sz w:val="20"/>
        </w:rPr>
        <w:t>” means any direct or indirect subsidiary of a Borrower or of any other Loan Party, as applicable. Unless otherwise expressly stated, any reference to a “Subsidiary” shall mean a direct or indirect subsidiary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Supply Chain Financing Accounts</w:t>
      </w:r>
      <w:r>
        <w:rPr>
          <w:rFonts w:ascii="Times New Roman" w:hAnsi="Times New Roman"/>
          <w:sz w:val="20"/>
        </w:rPr>
        <w:t xml:space="preserve">” means any right to payment of a monetary obligation, whether or not earned by performance, whether constituting an account, chattel paper, payment intangible, instrument, document, contract right, or general intangible, in each instance arising in connection with the sale of goods that have been or are to be sold or for services rendered or to be rendered, and includes, without limitation, the obligation to pay any service charges, finance charges, interest, fees and other charges with respect thereto, together with the Supply Chain Financing Related Assets with respect thereto. </w:t>
      </w:r>
    </w:p>
    <w:p>
      <w:pPr>
        <w:pStyle w:val="TextBody"/>
        <w:bidi w:val="0"/>
        <w:spacing w:before="120" w:after="0"/>
        <w:jc w:val="left"/>
        <w:rPr/>
      </w:pPr>
      <w:r>
        <w:rPr/>
        <w:t>“</w:t>
      </w:r>
      <w:r>
        <w:rPr>
          <w:rFonts w:ascii="Times New Roman" w:hAnsi="Times New Roman"/>
          <w:sz w:val="20"/>
          <w:u w:val="single"/>
        </w:rPr>
        <w:t>Supply Chain Financing Related Assets</w:t>
      </w:r>
      <w:r>
        <w:rPr>
          <w:rFonts w:ascii="Times New Roman" w:hAnsi="Times New Roman"/>
          <w:sz w:val="20"/>
        </w:rPr>
        <w:t xml:space="preserve">” means, with respect to any Supply Chain Financing Account, (i) all related rights and remedies under or in connection with the applicable contract or purchase order with respect to such Supply Chain Financing Account, including, without limitation, bills of lading, bills of exchange, promissory notes and accessions, (ii) all guaranties, suretyships, letters of credit, security, Liens and other arrangements supporting payment thereof, (iii) all applicable accounts, sales, ledgers, purchase and sales day books, invoices, contracts, purchase orders and other related books and records, in each case, with respect to such Supply Chain Financing Account (including, without limitation, any such accounts, sale ledgers, purchase and sales day books, invoices, contracts, purchase orders and other related books and records stored on computer disks, tapes, hard drives or other electronic media), (iv) all related insurance and (v) all proceeds of the foregoing. </w:t>
      </w:r>
    </w:p>
    <w:p>
      <w:pPr>
        <w:pStyle w:val="TextBody"/>
        <w:bidi w:val="0"/>
        <w:spacing w:before="120" w:after="0"/>
        <w:jc w:val="left"/>
        <w:rPr/>
      </w:pPr>
      <w:r>
        <w:rPr/>
        <w:t>“</w:t>
      </w:r>
      <w:r>
        <w:rPr>
          <w:rFonts w:ascii="Times New Roman" w:hAnsi="Times New Roman"/>
          <w:sz w:val="20"/>
          <w:u w:val="single"/>
        </w:rPr>
        <w:t>Swap Agreement</w:t>
      </w:r>
      <w:r>
        <w:rPr>
          <w:rFonts w:ascii="Times New Roman" w:hAnsi="Times New Roman"/>
          <w:sz w:val="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the Borrowers or their Restricted Subsidiaries shall be a Swap Agreement. </w:t>
      </w:r>
    </w:p>
    <w:p>
      <w:pPr>
        <w:pStyle w:val="TextBody"/>
        <w:bidi w:val="0"/>
        <w:spacing w:before="120" w:after="0"/>
        <w:jc w:val="left"/>
        <w:rPr/>
      </w:pPr>
      <w:r>
        <w:rPr/>
        <w:t>“</w:t>
      </w:r>
      <w:r>
        <w:rPr>
          <w:rFonts w:ascii="Times New Roman" w:hAnsi="Times New Roman"/>
          <w:sz w:val="20"/>
          <w:u w:val="single"/>
        </w:rPr>
        <w:t>Swap Agreement Obligations</w:t>
      </w:r>
      <w:r>
        <w:rPr>
          <w:rFonts w:ascii="Times New Roman" w:hAnsi="Times New Roman"/>
          <w:sz w:val="20"/>
        </w:rPr>
        <w:t xml:space="preserve">” means any and all obligations of the Loan Parties and their Restricted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 </w:t>
      </w:r>
    </w:p>
    <w:p>
      <w:pPr>
        <w:pStyle w:val="TextBody"/>
        <w:bidi w:val="0"/>
        <w:spacing w:before="120" w:after="0"/>
        <w:jc w:val="left"/>
        <w:rPr/>
      </w:pPr>
      <w:r>
        <w:rPr/>
        <w:t>“</w:t>
      </w:r>
      <w:r>
        <w:rPr>
          <w:rFonts w:ascii="Times New Roman" w:hAnsi="Times New Roman"/>
          <w:sz w:val="20"/>
          <w:u w:val="single"/>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or any rules or regulations promulgated thereunder. </w:t>
      </w:r>
    </w:p>
    <w:p>
      <w:pPr>
        <w:pStyle w:val="TextBody"/>
        <w:bidi w:val="0"/>
        <w:spacing w:before="120" w:after="0"/>
        <w:jc w:val="left"/>
        <w:rPr/>
      </w:pPr>
      <w:r>
        <w:rPr/>
        <w:t>“</w:t>
      </w:r>
      <w:r>
        <w:rPr>
          <w:rFonts w:ascii="Times New Roman" w:hAnsi="Times New Roman"/>
          <w:sz w:val="20"/>
          <w:u w:val="single"/>
        </w:rPr>
        <w:t>Swingline Commitment</w:t>
      </w:r>
      <w:r>
        <w:rPr>
          <w:rFonts w:ascii="Times New Roman" w:hAnsi="Times New Roman"/>
          <w:sz w:val="20"/>
        </w:rPr>
        <w:t xml:space="preserve">” means the amount set forth opposite JPMorgan’s name on the Commitment Schedule as Swingline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aggregate principal amount of all Swingline Loans outstanding at such time. The Swingline Exposure of any Revolving Lender at any time shall be the sum of (a) its Applicable Percentage of the aggregate principal amount of all Swingline Loans outstanding at such time (excluding, in the case of any Revolving Lender that is the Swingline Lender, Swingline Loans made by it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Revolving Lender that is the Swingline Lender, the aggregate principal amount of all Swingline Loans made by such Revolving Lender outstanding at such time, less the amount of participations funded by the other Lenders in such Swingline Loans. </w:t>
      </w:r>
    </w:p>
    <w:p>
      <w:pPr>
        <w:pStyle w:val="TextBody"/>
        <w:bidi w:val="0"/>
        <w:spacing w:before="120" w:after="0"/>
        <w:jc w:val="left"/>
        <w:rPr/>
      </w:pPr>
      <w:r>
        <w:rPr/>
        <w:t>“</w:t>
      </w:r>
      <w:r>
        <w:rPr>
          <w:rFonts w:ascii="Times New Roman" w:hAnsi="Times New Roman"/>
          <w:sz w:val="20"/>
          <w:u w:val="single"/>
        </w:rPr>
        <w:t>Swingline Lender</w:t>
      </w:r>
      <w:r>
        <w:rPr>
          <w:rFonts w:ascii="Times New Roman" w:hAnsi="Times New Roman"/>
          <w:sz w:val="20"/>
        </w:rPr>
        <w:t xml:space="preserve">” means JPMorgan (or any of its designated branch offices or affiliates), in its capacity as lender of Swingline Loans hereunder. Any consent required of the Administrative Agent or the Issuing Bank shall be deemed to be required of the Swingline Lender and any consent given by JPMorgan in its capacity as Administrative Agent or Issuing Bank shall be deemed given by JPMorgan in its capacity as Swingline Lender as well. </w:t>
      </w:r>
    </w:p>
    <w:p>
      <w:pPr>
        <w:pStyle w:val="TextBody"/>
        <w:bidi w:val="0"/>
        <w:spacing w:before="120" w:after="0"/>
        <w:jc w:val="left"/>
        <w:rPr/>
      </w:pPr>
      <w:r>
        <w:rPr/>
        <w:t>“</w:t>
      </w:r>
      <w:r>
        <w:rPr>
          <w:rFonts w:ascii="Times New Roman" w:hAnsi="Times New Roman"/>
          <w:sz w:val="20"/>
          <w:u w:val="single"/>
        </w:rPr>
        <w:t>Swingline Loan</w:t>
      </w:r>
      <w:r>
        <w:rPr>
          <w:rFonts w:ascii="Times New Roman" w:hAnsi="Times New Roman"/>
          <w:sz w:val="20"/>
        </w:rPr>
        <w:t xml:space="preserve">” means a Loan made pursuant to Section 2.05. All Swingline Loans shall be denominated in Dollars.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Take-Private Mandatory Prepayment Requirements” means the mandatory prepayments required to be made by the Borrowers pursuant to Section 2.11(c)(ii) or (iii), as applicable (subject to the reinvestment rights set forth therein).</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Take-Private Transaction” means, collectively, (a) the execution, delivery and performance by the Loan Parties of this Agreement and the other applicable Loan Documents, the borrowing of Loans and other credit extensions hereunder in connection with the transactions described in clauses (b), (c), (d) and (f) hereof, and the use of the proceeds thereof and the issuance of Letters of Credit hereunder in connection therewith, (b) the payment of Take-Private Transaction Transaction Expenses, (c) the occurrence of the Effective Time under the Take-Private Transaction Merger Agreement in accordance with the terms and conditions of the Take-Private Transaction Merger Agreement, (d) the issuance of the High Yield Notes, (e) the Sponsor Equity Injection, and (f) the consummation of any other transactions contemplated by the Take-Private Transaction Merger Agreement in accordance with the terms and conditions of the Take-Private Transaction Merger Agreement.</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Take-Private Transaction Merger Agreement” means the Agreement and Plan of Merger, dated as of July 15, 2026, by and among Eclipse Parent Acquisitions, LLC, a Delaware limited liability company (“ParentCo”), Eclipse Intermediate Acquisitions, LLC, a Delaware limited liability company (“HoldCo”), Eclipse Acquisitions Merger Sub, Inc., a Delaware corporation (“Merger Sub”), and the Company (without any amendment, modification or waiver thereof or any consent thereunder that is materially adverse to the Lenders without the prior written consent of the Administrative Agent, it being understood and agreed that (a) any decrease in the purchase price shall not be materially adverse to the interests of Lenders, (b) any increase in the purchase price by an amount not exceeding 10% shall not be materially adverse to the Lenders and any amount in excess thereof shall not be materially adverse to the Lenders so long as such excess is funded entirely by the Sponsor Equity Injection and (c) any adverse modifications to any of the provisions relating to the requirements for any debt financing or to the Administrative Agent’s, the Arranger’s or any other Lender’s liability, jurisdiction or status as a third party beneficiary under the Take-Private Transaction Merger Agreement, or any change to the definition of “Parent Material Adverse Effect” or “Material Adverse Effect” set forth therein shall be deemed to be materially adverse to the interests of the Lenders.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Take-Private Transaction </w:t>
      </w:r>
      <w:r>
        <w:rPr>
          <w:rFonts w:ascii="Times New Roman" w:hAnsi="Times New Roman"/>
          <w:color w:val="008000"/>
          <w:sz w:val="20"/>
          <w:u w:val="single"/>
          <w:bdr w:val="double" w:sz="2" w:space="1" w:color="000000"/>
        </w:rPr>
        <w:t xml:space="preserve">Transaction Expenses” means the fees, premiums, expenses and other transaction costs incurred by </w:t>
      </w:r>
      <w:r>
        <w:rPr>
          <w:rFonts w:ascii="Times New Roman" w:hAnsi="Times New Roman"/>
          <w:color w:val="0000FF"/>
          <w:sz w:val="20"/>
          <w:u w:val="single"/>
          <w:bdr w:val="double" w:sz="2" w:space="1" w:color="000000"/>
        </w:rPr>
        <w:t xml:space="preserve">ParentCo, HoldCo, Merger Sub, </w:t>
      </w:r>
      <w:r>
        <w:rPr>
          <w:rFonts w:ascii="Times New Roman" w:hAnsi="Times New Roman"/>
          <w:color w:val="008000"/>
          <w:sz w:val="20"/>
          <w:u w:val="single"/>
          <w:bdr w:val="double" w:sz="2" w:space="1" w:color="000000"/>
        </w:rPr>
        <w:t xml:space="preserve">the Company and its Restricted Subsidiaries in connection with the </w:t>
      </w:r>
      <w:r>
        <w:rPr>
          <w:rFonts w:ascii="Times New Roman" w:hAnsi="Times New Roman"/>
          <w:color w:val="0000FF"/>
          <w:sz w:val="20"/>
          <w:u w:val="single"/>
          <w:bdr w:val="double" w:sz="2" w:space="1" w:color="000000"/>
        </w:rPr>
        <w:t>Take-Private Transaction (whether incurred or payable prior to, on or after the First Amendment Date)</w:t>
      </w:r>
      <w:r>
        <w:rPr>
          <w:rFonts w:ascii="Times New Roman" w:hAnsi="Times New Roman"/>
          <w:color w:val="008000"/>
          <w:sz w:val="20"/>
          <w:u w:val="single"/>
          <w:bdr w:val="double" w:sz="2" w:space="1" w:color="000000"/>
        </w:rPr>
        <w:t xml:space="preserve">, including, without limitation, to fund </w:t>
      </w:r>
      <w:r>
        <w:rPr>
          <w:rFonts w:ascii="Times New Roman" w:hAnsi="Times New Roman"/>
          <w:color w:val="0000FF"/>
          <w:sz w:val="20"/>
          <w:u w:val="single"/>
          <w:bdr w:val="double" w:sz="2" w:space="1" w:color="000000"/>
        </w:rPr>
        <w:t>(i) any original issue discount, upfront fees, amendment fees and arranger fees, (ii) any earnouts or similar deferred or contingent consideration arrangements and (iii) any break-up, reverse termination or similar broken deal fees or penalties.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u w:val="single"/>
        </w:rPr>
        <w:t>Taxes</w:t>
      </w:r>
      <w:r>
        <w:rPr>
          <w:rFonts w:ascii="Times New Roman" w:hAnsi="Times New Roman"/>
          <w:sz w:val="20"/>
        </w:rPr>
        <w:t xml:space="preserve">”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w:t>
      </w:r>
    </w:p>
    <w:p>
      <w:pPr>
        <w:pStyle w:val="TextBody"/>
        <w:bidi w:val="0"/>
        <w:spacing w:before="120" w:after="0"/>
        <w:jc w:val="left"/>
        <w:rPr/>
      </w:pPr>
      <w:r>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bear interest at a rate determined by reference to the Adjusted Term SOFR Rate or the Adjusted Term CORRA Rate. </w:t>
      </w:r>
    </w:p>
    <w:p>
      <w:pPr>
        <w:pStyle w:val="TextBody"/>
        <w:bidi w:val="0"/>
        <w:spacing w:before="120" w:after="0"/>
        <w:jc w:val="left"/>
        <w:rPr/>
      </w:pPr>
      <w:r>
        <w:rPr/>
        <w:t>“</w:t>
      </w:r>
      <w:r>
        <w:rPr>
          <w:rFonts w:ascii="Times New Roman" w:hAnsi="Times New Roman"/>
          <w:sz w:val="20"/>
          <w:u w:val="single"/>
        </w:rPr>
        <w:t>Term CORRA</w:t>
      </w:r>
      <w:r>
        <w:rPr>
          <w:rFonts w:ascii="Times New Roman" w:hAnsi="Times New Roman"/>
          <w:sz w:val="20"/>
        </w:rPr>
        <w:t>” means, with respect to any Term Benchmark Borrowing denominated in Canadian Dollars, the Term CORRA Reference Rate for a tenor comparable to the applicable Interest Period on the day (such day, the “</w:t>
      </w:r>
      <w:r>
        <w:rPr>
          <w:rFonts w:ascii="Times New Roman" w:hAnsi="Times New Roman"/>
          <w:sz w:val="20"/>
          <w:u w:val="single"/>
        </w:rPr>
        <w:t>Periodic Term CORRA Determination Day</w:t>
      </w:r>
      <w:r>
        <w:rPr>
          <w:rFonts w:ascii="Times New Roman" w:hAnsi="Times New Roman"/>
          <w:sz w:val="20"/>
        </w:rPr>
        <w:t xml:space="preserve">”)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p>
    <w:p>
      <w:pPr>
        <w:pStyle w:val="TextBody"/>
        <w:bidi w:val="0"/>
        <w:spacing w:before="120" w:after="0"/>
        <w:jc w:val="left"/>
        <w:rPr/>
      </w:pPr>
      <w:r>
        <w:rPr/>
        <w:t>“</w:t>
      </w:r>
      <w:r>
        <w:rPr>
          <w:rFonts w:ascii="Times New Roman" w:hAnsi="Times New Roman"/>
          <w:sz w:val="20"/>
          <w:u w:val="single"/>
        </w:rPr>
        <w:t>Term CORRA Administrator</w:t>
      </w:r>
      <w:r>
        <w:rPr>
          <w:rFonts w:ascii="Times New Roman" w:hAnsi="Times New Roman"/>
          <w:sz w:val="20"/>
        </w:rPr>
        <w:t xml:space="preserve">” means Candeal Benchmark Administration Services Inc., TSX Inc., or any successor administrator. </w:t>
      </w:r>
    </w:p>
    <w:p>
      <w:pPr>
        <w:pStyle w:val="TextBody"/>
        <w:bidi w:val="0"/>
        <w:spacing w:before="120" w:after="0"/>
        <w:jc w:val="left"/>
        <w:rPr/>
      </w:pPr>
      <w:r>
        <w:rPr/>
        <w:t>“</w:t>
      </w:r>
      <w:r>
        <w:rPr>
          <w:rFonts w:ascii="Times New Roman" w:hAnsi="Times New Roman"/>
          <w:sz w:val="20"/>
          <w:u w:val="single"/>
        </w:rPr>
        <w:t>Term CORRA Notice</w:t>
      </w:r>
      <w:r>
        <w:rPr>
          <w:rFonts w:ascii="Times New Roman" w:hAnsi="Times New Roman"/>
          <w:sz w:val="20"/>
        </w:rPr>
        <w:t xml:space="preserve">” means a notification by the Administrative Agent to the Lenders and the Borrower Representative of the occurrence of a Term CORRA Reelection Event. </w:t>
      </w:r>
    </w:p>
    <w:p>
      <w:pPr>
        <w:pStyle w:val="TextBody"/>
        <w:bidi w:val="0"/>
        <w:spacing w:before="120" w:after="0"/>
        <w:jc w:val="left"/>
        <w:rPr/>
      </w:pPr>
      <w:r>
        <w:rPr/>
        <w:t>“</w:t>
      </w:r>
      <w:r>
        <w:rPr>
          <w:rFonts w:ascii="Times New Roman" w:hAnsi="Times New Roman"/>
          <w:sz w:val="20"/>
          <w:u w:val="single"/>
        </w:rPr>
        <w:t>Term CORRA Reelection Event</w:t>
      </w:r>
      <w:r>
        <w:rPr>
          <w:rFonts w:ascii="Times New Roman" w:hAnsi="Times New Roman"/>
          <w:sz w:val="20"/>
        </w:rPr>
        <w:t xml:space="preserve">” means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2.14(b) that is not Term CORRA. </w:t>
      </w:r>
    </w:p>
    <w:p>
      <w:pPr>
        <w:pStyle w:val="TextBody"/>
        <w:bidi w:val="0"/>
        <w:spacing w:before="120" w:after="0"/>
        <w:jc w:val="left"/>
        <w:rPr/>
      </w:pPr>
      <w:r>
        <w:rPr/>
        <w:t>“</w:t>
      </w:r>
      <w:r>
        <w:rPr>
          <w:rFonts w:ascii="Times New Roman" w:hAnsi="Times New Roman"/>
          <w:sz w:val="20"/>
          <w:u w:val="single"/>
        </w:rPr>
        <w:t>Term CORRA Reference Rate</w:t>
      </w:r>
      <w:r>
        <w:rPr>
          <w:rFonts w:ascii="Times New Roman" w:hAnsi="Times New Roman"/>
          <w:sz w:val="20"/>
        </w:rPr>
        <w:t xml:space="preserve">” means the forward-looking term rate based on CORRA. </w:t>
      </w:r>
    </w:p>
    <w:p>
      <w:pPr>
        <w:pStyle w:val="TextBody"/>
        <w:bidi w:val="0"/>
        <w:spacing w:before="120" w:after="0"/>
        <w:jc w:val="left"/>
        <w:rPr/>
      </w:pPr>
      <w:r>
        <w:rPr/>
        <w:t>“</w:t>
      </w:r>
      <w:r>
        <w:rPr>
          <w:rFonts w:ascii="Times New Roman" w:hAnsi="Times New Roman"/>
          <w:sz w:val="20"/>
          <w:u w:val="single"/>
        </w:rPr>
        <w:t>Term Lender</w:t>
      </w:r>
      <w:r>
        <w:rPr>
          <w:rFonts w:ascii="Times New Roman" w:hAnsi="Times New Roman"/>
          <w:sz w:val="20"/>
        </w:rPr>
        <w:t xml:space="preserve">” means an Initial Term Lender or, if applicable, any Lender of Incremental Term Loans. </w:t>
      </w:r>
    </w:p>
    <w:p>
      <w:pPr>
        <w:pStyle w:val="TextBody"/>
        <w:bidi w:val="0"/>
        <w:spacing w:before="120" w:after="0"/>
        <w:jc w:val="left"/>
        <w:rPr/>
      </w:pPr>
      <w:r>
        <w:rPr/>
        <w:t>“</w:t>
      </w:r>
      <w:r>
        <w:rPr>
          <w:rFonts w:ascii="Times New Roman" w:hAnsi="Times New Roman"/>
          <w:sz w:val="20"/>
          <w:u w:val="single"/>
        </w:rPr>
        <w:t>Term Loan</w:t>
      </w:r>
      <w:r>
        <w:rPr>
          <w:rFonts w:ascii="Times New Roman" w:hAnsi="Times New Roman"/>
          <w:sz w:val="20"/>
        </w:rPr>
        <w:t xml:space="preserve">” means an Initial Term Loan or, if applicable, any Incremental Term Loans. </w:t>
      </w:r>
    </w:p>
    <w:p>
      <w:pPr>
        <w:pStyle w:val="TextBody"/>
        <w:bidi w:val="0"/>
        <w:spacing w:before="120" w:after="0"/>
        <w:jc w:val="left"/>
        <w:rPr/>
      </w:pPr>
      <w:r>
        <w:rPr/>
        <w:t>“</w:t>
      </w:r>
      <w:r>
        <w:rPr>
          <w:rFonts w:ascii="Times New Roman" w:hAnsi="Times New Roman"/>
          <w:sz w:val="20"/>
          <w:u w:val="single"/>
        </w:rPr>
        <w:t>Term Loan Commitment</w:t>
      </w:r>
      <w:r>
        <w:rPr>
          <w:rFonts w:ascii="Times New Roman" w:hAnsi="Times New Roman"/>
          <w:sz w:val="20"/>
        </w:rPr>
        <w:t xml:space="preserve">” means an Initial Term Loan Commitment or, if applicable, any commitment of any Lender with respect to Incremental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SOFR Determination Day</w:t>
      </w:r>
      <w:r>
        <w:rPr>
          <w:rFonts w:ascii="Times New Roman" w:hAnsi="Times New Roman"/>
          <w:sz w:val="20"/>
        </w:rPr>
        <w:t xml:space="preserve">” has the meaning assigned to it under the definition of Term SOFR Reference Rate. </w:t>
      </w:r>
    </w:p>
    <w:p>
      <w:pPr>
        <w:pStyle w:val="TextBody"/>
        <w:bidi w:val="0"/>
        <w:spacing w:before="240" w:after="0"/>
        <w:jc w:val="left"/>
        <w:rPr/>
      </w:pPr>
      <w:r>
        <w:rPr/>
        <w:t>“</w:t>
      </w:r>
      <w:r>
        <w:rPr>
          <w:rFonts w:ascii="Times New Roman" w:hAnsi="Times New Roman"/>
          <w:sz w:val="20"/>
          <w:u w:val="single"/>
        </w:rPr>
        <w:t>Term SOFR Rate</w:t>
      </w:r>
      <w:r>
        <w:rPr>
          <w:rFonts w:ascii="Times New Roman" w:hAnsi="Times New Roman"/>
          <w:sz w:val="20"/>
        </w:rPr>
        <w:t xml:space="preserve">” means, with respect to any Term Benchmark Borrowing or ABR Borrowing determined by reference to the Term SOFR Rate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means, for any day and time (such day, the “</w:t>
      </w:r>
      <w:r>
        <w:rPr>
          <w:rFonts w:ascii="Times New Roman" w:hAnsi="Times New Roman"/>
          <w:sz w:val="20"/>
          <w:u w:val="single"/>
        </w:rPr>
        <w:t>Term SOFR Determination Day</w:t>
      </w:r>
      <w:r>
        <w:rPr>
          <w:rFonts w:ascii="Times New Roman" w:hAnsi="Times New Roman"/>
          <w:sz w:val="20"/>
        </w:rPr>
        <w:t xml:space="preserve">”), with respect to any Term Benchmark Borrowing or for any ABR Borrowing determined by reference to the Term SOFR Rate,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w:t>
      </w:r>
    </w:p>
    <w:p>
      <w:pPr>
        <w:pStyle w:val="TextBody"/>
        <w:bidi w:val="0"/>
        <w:spacing w:before="240" w:after="0"/>
        <w:jc w:val="left"/>
        <w:rPr/>
      </w:pPr>
      <w:r>
        <w:rPr/>
        <w:t>“</w:t>
      </w:r>
      <w:r>
        <w:rPr>
          <w:rFonts w:ascii="Times New Roman" w:hAnsi="Times New Roman"/>
          <w:sz w:val="20"/>
          <w:u w:val="single"/>
        </w:rPr>
        <w:t>TestEquity Acquisition Agreement</w:t>
      </w:r>
      <w:r>
        <w:rPr>
          <w:rFonts w:ascii="Times New Roman" w:hAnsi="Times New Roman"/>
          <w:sz w:val="20"/>
        </w:rPr>
        <w:t xml:space="preserve">” means the Agreement and Plan of Merger, dated as of December 29, 2021, among LKCM TE Investors, LLC, the Company, the TestEquity Target and Tide Sub, LLC, together with all exhibits, schedules, disclosure letters and attachments and supplements thereto, in each case, as amended or otherwise modified from time to time in accordance with this Agreement, as applicable. </w:t>
      </w:r>
    </w:p>
    <w:p>
      <w:pPr>
        <w:pStyle w:val="TextBody"/>
        <w:bidi w:val="0"/>
        <w:spacing w:before="240" w:after="0"/>
        <w:jc w:val="left"/>
        <w:rPr/>
      </w:pPr>
      <w:r>
        <w:rPr/>
        <w:t>“</w:t>
      </w:r>
      <w:r>
        <w:rPr>
          <w:rFonts w:ascii="Times New Roman" w:hAnsi="Times New Roman"/>
          <w:sz w:val="20"/>
          <w:u w:val="single"/>
        </w:rPr>
        <w:t>TestEquity Holdings</w:t>
      </w:r>
      <w:r>
        <w:rPr>
          <w:rFonts w:ascii="Times New Roman" w:hAnsi="Times New Roman"/>
          <w:sz w:val="20"/>
        </w:rPr>
        <w:t xml:space="preserve">” means TestEquity Acquisition, LLC, a Delaware limited liability company. </w:t>
      </w:r>
    </w:p>
    <w:p>
      <w:pPr>
        <w:pStyle w:val="TextBody"/>
        <w:bidi w:val="0"/>
        <w:spacing w:before="240" w:after="0"/>
        <w:jc w:val="left"/>
        <w:rPr/>
      </w:pPr>
      <w:r>
        <w:rPr/>
        <w:t>“</w:t>
      </w:r>
      <w:r>
        <w:rPr>
          <w:rFonts w:ascii="Times New Roman" w:hAnsi="Times New Roman"/>
          <w:sz w:val="20"/>
          <w:u w:val="single"/>
        </w:rPr>
        <w:t>TestEquity Target</w:t>
      </w:r>
      <w:r>
        <w:rPr>
          <w:rFonts w:ascii="Times New Roman" w:hAnsi="Times New Roman"/>
          <w:sz w:val="20"/>
        </w:rPr>
        <w:t xml:space="preserve">” means TestEquity Holdings, collectively with its subsidiaries and all assets related thereto. </w:t>
      </w:r>
    </w:p>
    <w:p>
      <w:pPr>
        <w:pStyle w:val="TextBody"/>
        <w:bidi w:val="0"/>
        <w:spacing w:before="240" w:after="0"/>
        <w:jc w:val="left"/>
        <w:rPr/>
      </w:pPr>
      <w:r>
        <w:rPr/>
        <w:t>“</w:t>
      </w:r>
      <w:r>
        <w:rPr>
          <w:rFonts w:ascii="Times New Roman" w:hAnsi="Times New Roman"/>
          <w:sz w:val="20"/>
          <w:u w:val="single"/>
        </w:rPr>
        <w:t>Total Indebtedness</w:t>
      </w:r>
      <w:r>
        <w:rPr>
          <w:rFonts w:ascii="Times New Roman" w:hAnsi="Times New Roman"/>
          <w:sz w:val="20"/>
        </w:rPr>
        <w:t xml:space="preserve">” means, at any date, the aggregate principal amount of all Indebtedness (but excluding clauses (i) and (m) of such definition) determined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on a consolidated basis at such date. </w:t>
      </w:r>
    </w:p>
    <w:p>
      <w:pPr>
        <w:pStyle w:val="TextBody"/>
        <w:bidi w:val="0"/>
        <w:spacing w:before="240" w:after="0"/>
        <w:jc w:val="left"/>
        <w:rPr/>
      </w:pPr>
      <w:r>
        <w:rPr/>
        <w:t>“</w:t>
      </w:r>
      <w:r>
        <w:rPr>
          <w:rFonts w:ascii="Times New Roman" w:hAnsi="Times New Roman"/>
          <w:sz w:val="20"/>
          <w:u w:val="single"/>
        </w:rPr>
        <w:t>Total Net Leverage Ratio</w:t>
      </w:r>
      <w:r>
        <w:rPr>
          <w:rFonts w:ascii="Times New Roman" w:hAnsi="Times New Roman"/>
          <w:sz w:val="20"/>
        </w:rPr>
        <w:t xml:space="preserve">” means, on any date, the ratio of (a) Total Indebtedness on such date </w:t>
      </w:r>
      <w:r>
        <w:rPr>
          <w:rFonts w:ascii="Times New Roman" w:hAnsi="Times New Roman"/>
          <w:i/>
          <w:sz w:val="20"/>
          <w:u w:val="single"/>
        </w:rPr>
        <w:t>minus</w:t>
      </w:r>
      <w:r>
        <w:rPr>
          <w:rFonts w:ascii="Times New Roman" w:hAnsi="Times New Roman"/>
          <w:sz w:val="20"/>
        </w:rPr>
        <w:t xml:space="preserve"> Unrestricted Cash as of such date in an amount not to exceed </w:t>
      </w:r>
      <w:r>
        <w:rPr>
          <w:rFonts w:ascii="Times New Roman" w:hAnsi="Times New Roman"/>
          <w:strike/>
          <w:color w:val="FF0000"/>
          <w:sz w:val="20"/>
        </w:rPr>
        <w:t>$100,000,000</w:t>
      </w:r>
      <w:r>
        <w:rPr>
          <w:rFonts w:ascii="Times New Roman" w:hAnsi="Times New Roman"/>
          <w:color w:val="0000FF"/>
          <w:sz w:val="20"/>
          <w:u w:val="single"/>
          <w:bdr w:val="double" w:sz="2" w:space="1" w:color="000000"/>
        </w:rPr>
        <w:t>(x) at any time on or prior to the date that is six (6) months after the First Amendment Date, $300,000,000 and (y) at any time thereafter, $200,000,000</w:t>
      </w:r>
      <w:r>
        <w:rPr>
          <w:rFonts w:ascii="Times New Roman" w:hAnsi="Times New Roman"/>
          <w:sz w:val="20"/>
        </w:rPr>
        <w:t xml:space="preserve"> to (b) EBITDA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on or prior to such date. Operating leases that are reflected on the consolidated balance sheet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excluded for purposes of calculating the Total Net Leverage Ratio. </w:t>
      </w:r>
    </w:p>
    <w:p>
      <w:pPr>
        <w:pStyle w:val="TextBody"/>
        <w:bidi w:val="0"/>
        <w:spacing w:before="240" w:after="0"/>
        <w:jc w:val="left"/>
        <w:rPr/>
      </w:pPr>
      <w:r>
        <w:rPr/>
        <w:t>“</w:t>
      </w:r>
      <w:r>
        <w:rPr>
          <w:rFonts w:ascii="Times New Roman" w:hAnsi="Times New Roman"/>
          <w:sz w:val="20"/>
          <w:u w:val="single"/>
        </w:rPr>
        <w:t>Total Net Leverage Ratio Adjustment</w:t>
      </w:r>
      <w:r>
        <w:rPr>
          <w:rFonts w:ascii="Times New Roman" w:hAnsi="Times New Roman"/>
          <w:sz w:val="20"/>
        </w:rPr>
        <w:t xml:space="preserve">” has the meaning assigned to such term in Section 6.12(b).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w:t>
      </w:r>
      <w:r>
        <w:rPr>
          <w:rFonts w:ascii="Times New Roman" w:hAnsi="Times New Roman"/>
          <w:strike/>
          <w:color w:val="FF0000"/>
          <w:sz w:val="20"/>
        </w:rPr>
        <w:t>(a) </w:t>
      </w:r>
      <w:r>
        <w:rPr>
          <w:rFonts w:ascii="Times New Roman" w:hAnsi="Times New Roman"/>
          <w:sz w:val="20"/>
        </w:rPr>
        <w:t>the execution, delivery and performance by the Loan Parties of this Agreement and the other Loan Documents, the borrowing of Loans and other credit extensions, the use of the proceeds thereof and the issuance of Letters of Credit hereunder</w:t>
      </w:r>
      <w:r>
        <w:rPr>
          <w:rFonts w:ascii="Times New Roman" w:hAnsi="Times New Roman"/>
          <w:strike/>
          <w:color w:val="FF0000"/>
          <w:sz w:val="20"/>
        </w:rPr>
        <w:t xml:space="preserve"> and (b) the payment of the Closing Date Transaction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Adjusted Term SOFR Rate, the Adjusted Daily Simple SOFR, the Alternate Base Rate, the Canadian Prime Rate, the Adjusted Term CORRA Rate or Adjusted Daily Simple CORRA.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Illinois or in any other state, the laws of which are required to be applied in connection with the issue of perfection of security interests. </w:t>
      </w:r>
    </w:p>
    <w:p>
      <w:pPr>
        <w:pStyle w:val="TextBody"/>
        <w:bidi w:val="0"/>
        <w:spacing w:before="240" w:after="0"/>
        <w:jc w:val="left"/>
        <w:rPr/>
      </w:pPr>
      <w:r>
        <w:rPr/>
        <w:t>“</w:t>
      </w:r>
      <w:r>
        <w:rPr>
          <w:rFonts w:ascii="Times New Roman" w:hAnsi="Times New Roman"/>
          <w:sz w:val="20"/>
          <w:u w:val="single"/>
        </w:rPr>
        <w:t>UK Financial Institutions</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Unfunded Revolving Commitment</w:t>
      </w:r>
      <w:r>
        <w:rPr>
          <w:rFonts w:ascii="Times New Roman" w:hAnsi="Times New Roman"/>
          <w:sz w:val="20"/>
        </w:rPr>
        <w:t xml:space="preserve">” means, with respect to each Lender at any time, the Revolving Commitment of such Lender at such time, less its Revolving Exposure at such time. </w:t>
      </w:r>
    </w:p>
    <w:p>
      <w:pPr>
        <w:pStyle w:val="TextBody"/>
        <w:bidi w:val="0"/>
        <w:spacing w:before="240" w:after="0"/>
        <w:jc w:val="left"/>
        <w:rPr/>
      </w:pPr>
      <w:r>
        <w:rPr/>
        <w:t>“</w:t>
      </w:r>
      <w:r>
        <w:rPr>
          <w:rFonts w:ascii="Times New Roman" w:hAnsi="Times New Roman"/>
          <w:sz w:val="20"/>
          <w:u w:val="single"/>
        </w:rPr>
        <w:t>Unliquidated Obligations</w:t>
      </w:r>
      <w:r>
        <w:rPr>
          <w:rFonts w:ascii="Times New Roman" w:hAnsi="Times New Roman"/>
          <w:sz w:val="20"/>
        </w:rPr>
        <w:t xml:space="preserve">”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 </w:t>
      </w:r>
    </w:p>
    <w:p>
      <w:pPr>
        <w:pStyle w:val="TextBody"/>
        <w:bidi w:val="0"/>
        <w:spacing w:before="240" w:after="0"/>
        <w:jc w:val="left"/>
        <w:rPr/>
      </w:pPr>
      <w:r>
        <w:rPr/>
        <w:t>“</w:t>
      </w:r>
      <w:r>
        <w:rPr>
          <w:rFonts w:ascii="Times New Roman" w:hAnsi="Times New Roman"/>
          <w:sz w:val="20"/>
          <w:u w:val="single"/>
        </w:rPr>
        <w:t>Unrestricted Cash</w:t>
      </w:r>
      <w:r>
        <w:rPr>
          <w:rFonts w:ascii="Times New Roman" w:hAnsi="Times New Roman"/>
          <w:sz w:val="20"/>
        </w:rPr>
        <w:t xml:space="preserve">” means, as of any date of determination, the </w:t>
      </w:r>
      <w:r>
        <w:rPr>
          <w:rFonts w:ascii="Times New Roman" w:hAnsi="Times New Roman"/>
          <w:strike/>
          <w:color w:val="FF0000"/>
          <w:sz w:val="20"/>
        </w:rPr>
        <w:t>sum of the</w:t>
      </w:r>
      <w:r>
        <w:rPr>
          <w:rFonts w:ascii="Times New Roman" w:hAnsi="Times New Roman"/>
          <w:color w:val="0000FF"/>
          <w:sz w:val="20"/>
          <w:u w:val="single"/>
          <w:bdr w:val="double" w:sz="2" w:space="1" w:color="000000"/>
        </w:rPr>
        <w:t>aggregate</w:t>
      </w:r>
      <w:r>
        <w:rPr>
          <w:rFonts w:ascii="Times New Roman" w:hAnsi="Times New Roman"/>
          <w:sz w:val="20"/>
        </w:rPr>
        <w:t xml:space="preserve"> amount of unrestricted cash and Permitted Investments held by the Loan Parties</w:t>
      </w:r>
      <w:r>
        <w:rPr>
          <w:rFonts w:ascii="Times New Roman" w:hAnsi="Times New Roman"/>
          <w:strike/>
          <w:color w:val="FF0000"/>
          <w:sz w:val="20"/>
        </w:rPr>
        <w:t xml:space="preserve"> on a consolidated basis</w:t>
      </w:r>
      <w:r>
        <w:rPr>
          <w:rFonts w:ascii="Times New Roman" w:hAnsi="Times New Roman"/>
          <w:sz w:val="20"/>
        </w:rPr>
        <w:t xml:space="preserve">, without duplication, to the extent such cash and Permitted Investments are </w:t>
      </w:r>
      <w:r>
        <w:rPr>
          <w:rFonts w:ascii="Times New Roman" w:hAnsi="Times New Roman"/>
          <w:color w:val="0000FF"/>
          <w:sz w:val="20"/>
          <w:u w:val="single"/>
          <w:bdr w:val="double" w:sz="2" w:space="1" w:color="000000"/>
        </w:rPr>
        <w:t>(i) </w:t>
      </w:r>
      <w:r>
        <w:rPr>
          <w:rFonts w:ascii="Times New Roman" w:hAnsi="Times New Roman"/>
          <w:sz w:val="20"/>
        </w:rPr>
        <w:t>subject to account control agreements for the benefit of the Administrative Agent (in form and substance reasonably satisfactory to the Administrative Agent and effective to grant “control” (as defined under the applicable state’s Uniform Commercial Code) to the Administrative Agent over such account)</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(ii) would not appear as “restricted” on a consolidated balance sheet of the Company (or, after the consummation of the Take-Private Transaction, HoldCo) and its Restricted Subsidiaries; so long as such amounts included as Unrestricted Cash pursuant to this clause (ii) are not subject to any Lien or other restriction or encumbrance of any kind (other than (x) Liens in favor of the Administrative Agent and (y) Liens of the type described in clause (h) of the definition of the term “Permitted Encumbrances” so long as such Liens and rights are not being enforced or otherwise exercised on the date of determination).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at any time, any Subsidiary designated as an Unrestricted Subsidiary on Schedule 3.14 as of the Effective Date or designated by the board of directors of the Company as an Unrestricted Subsidiary pursuant to Section 5.15 subsequent to the Effective Date, in each case, to the extent such Subsidiary has not been designated as a Restricted Subsidiary pursuant to Section 5.15.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or “</w:t>
      </w:r>
      <w:r>
        <w:rPr>
          <w:rFonts w:ascii="Times New Roman" w:hAnsi="Times New Roman"/>
          <w:sz w:val="20"/>
          <w:u w:val="single"/>
        </w:rPr>
        <w:t>U.S. Borrowers</w:t>
      </w:r>
      <w:r>
        <w:rPr>
          <w:rFonts w:ascii="Times New Roman" w:hAnsi="Times New Roman"/>
          <w:sz w:val="20"/>
        </w:rPr>
        <w:t xml:space="preserve">” has the meaning assigned to such term in the introductory paragraph of this Agreement.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Guaranteed Obligations</w:t>
      </w:r>
      <w:r>
        <w:rPr>
          <w:rFonts w:ascii="Times New Roman" w:hAnsi="Times New Roman"/>
          <w:sz w:val="20"/>
        </w:rPr>
        <w:t xml:space="preserve">” has the meaning assigned to such term in Section 10.01(a). </w:t>
      </w:r>
    </w:p>
    <w:p>
      <w:pPr>
        <w:pStyle w:val="TextBody"/>
        <w:bidi w:val="0"/>
        <w:spacing w:before="240" w:after="0"/>
        <w:jc w:val="left"/>
        <w:rPr/>
      </w:pPr>
      <w:r>
        <w:rPr/>
        <w:t>“</w:t>
      </w:r>
      <w:r>
        <w:rPr>
          <w:rFonts w:ascii="Times New Roman" w:hAnsi="Times New Roman"/>
          <w:sz w:val="20"/>
          <w:u w:val="single"/>
        </w:rPr>
        <w:t>U.S. Loan Guarantors</w:t>
      </w:r>
      <w:r>
        <w:rPr>
          <w:rFonts w:ascii="Times New Roman" w:hAnsi="Times New Roman"/>
          <w:sz w:val="20"/>
        </w:rPr>
        <w:t xml:space="preserve">” means, individually or collectively, as the context may require, the U.S. Borrowers, any U.S. Subsidiary that is not a Borrower and has executed a signature page to this Agreement and any other U.S. Subsidiary of a Loan Party who becomes a party to this Agreement pursuant to a Joinder Agreement, and, in each case, their respective successors and assigns. </w:t>
      </w:r>
    </w:p>
    <w:p>
      <w:pPr>
        <w:pStyle w:val="TextBody"/>
        <w:bidi w:val="0"/>
        <w:spacing w:before="240" w:after="0"/>
        <w:jc w:val="left"/>
        <w:rPr/>
      </w:pPr>
      <w:r>
        <w:rPr/>
        <w:t>“</w:t>
      </w:r>
      <w:r>
        <w:rPr>
          <w:rFonts w:ascii="Times New Roman" w:hAnsi="Times New Roman"/>
          <w:sz w:val="20"/>
          <w:u w:val="single"/>
        </w:rPr>
        <w:t>U.S. Loan Party</w:t>
      </w:r>
      <w:r>
        <w:rPr>
          <w:rFonts w:ascii="Times New Roman" w:hAnsi="Times New Roman"/>
          <w:sz w:val="20"/>
        </w:rPr>
        <w:t xml:space="preserve">” means, individually or collectively, as the context may require, the U.S. Borrowers and the U.S. Loan Guarantors.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 “United States person” within the meaning of Section 7701(a)(30) of the Code. </w:t>
      </w:r>
    </w:p>
    <w:p>
      <w:pPr>
        <w:pStyle w:val="TextBody"/>
        <w:bidi w:val="0"/>
        <w:spacing w:before="240" w:after="0"/>
        <w:jc w:val="left"/>
        <w:rPr/>
      </w:pPr>
      <w:r>
        <w:rPr/>
        <w:t>“</w:t>
      </w:r>
      <w:r>
        <w:rPr>
          <w:rFonts w:ascii="Times New Roman" w:hAnsi="Times New Roman"/>
          <w:sz w:val="20"/>
          <w:u w:val="single"/>
        </w:rPr>
        <w:t>U.S. Secured Obligations</w:t>
      </w:r>
      <w:r>
        <w:rPr>
          <w:rFonts w:ascii="Times New Roman" w:hAnsi="Times New Roman"/>
          <w:sz w:val="20"/>
        </w:rPr>
        <w:t xml:space="preserve">” means all Obligations of the U.S. Loan Parties, together with all (i) Banking Services Obligations of the U.S. Loan Parties and the U.S. Subsidiaries and (ii) Swap Agreement Obligations of the U.S. Loan Parties and the U.S. Subsidiaries, in each case, owing to one or more Lenders or their respective Affiliates; provided, however, that the definition of “U.S. Secured Obligations” shall not create any guarantee by any Guarantor of (or grant of security interest by any Guarantor to support, as applicable) any Excluded Swap Obligations of such Guarantor for purposes of determining any obligations of any Guarantor. </w:t>
      </w:r>
    </w:p>
    <w:p>
      <w:pPr>
        <w:pStyle w:val="TextBody"/>
        <w:bidi w:val="0"/>
        <w:spacing w:before="240" w:after="0"/>
        <w:jc w:val="left"/>
        <w:rPr/>
      </w:pPr>
      <w:r>
        <w:rPr/>
        <w:t>“</w:t>
      </w:r>
      <w:r>
        <w:rPr>
          <w:rFonts w:ascii="Times New Roman" w:hAnsi="Times New Roman"/>
          <w:sz w:val="20"/>
          <w:u w:val="single"/>
        </w:rPr>
        <w:t>U.S. Security Agreement</w:t>
      </w:r>
      <w:r>
        <w:rPr>
          <w:rFonts w:ascii="Times New Roman" w:hAnsi="Times New Roman"/>
          <w:sz w:val="20"/>
        </w:rPr>
        <w:t xml:space="preserve">” means (a) that certain Second Amended and Restated Pledge and Security Agreement (including any and all supplements thereto), dated as of the date hereof, among the U.S. Loan Parties and the Administrative Agent, for the benefit of the Administrative Agent and the other Secured Parties, and (b) any other pledge, hypothec or security agreement entered into, after the date of this Agreement by any other U.S. Loan Party (as required by this Agreement or any other Loan Document) or any other Person for the benefit of the Administrative Agent and the other Secured Parties, in each case,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U.S. Subsidiary</w:t>
      </w:r>
      <w:r>
        <w:rPr>
          <w:rFonts w:ascii="Times New Roman" w:hAnsi="Times New Roman"/>
          <w:sz w:val="20"/>
        </w:rPr>
        <w:t xml:space="preserve">” means any Restricted Subsidiary of a Loan Party that is organized under the laws of the United States, any state thereof or the District of Columbia.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assigned to such term in Section 2.17(f)(ii)(B)(3).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Classification of Loans and Borrowings</w:t>
      </w:r>
      <w:r>
        <w:rPr>
          <w:rFonts w:ascii="Times New Roman" w:hAnsi="Times New Roman"/>
          <w:sz w:val="20"/>
        </w:rPr>
        <w:t xml:space="preserve">. For purposes of this Agreement, Loans may be classified and referred to by Class (e.g., a “Revolving Loan”) or by Type (e.g., a “Term Benchmark Loan”) or by Class and Type (e.g., a “Term Benchmark Revolving Loan”). Borrowings also may be classified and referred to by Class (e.g., a “Revolving Borrowing”) or by Type (e.g., a “Term Benchmark Borrowing”) or by Class and Type (e.g., a “Term Benchmark Revolving Borrowing”).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Terms Generally</w:t>
      </w:r>
      <w:r>
        <w:rPr>
          <w:rFonts w:ascii="Times New Roman" w:hAnsi="Times New Roman"/>
          <w:sz w:val="20"/>
        </w:rPr>
        <w:t xml:space="preserve">.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statute, rule or regulation shall be construed as referring thereto as from time to time amended, supplemented or otherwise modified (including by succession of comparable successor laws), (iii)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(vi) any reference in any definition to the phrase “at any time” or “for any period” shall refer to the same time or period for all calculations or determinations within such definition, and (vii)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120" w:after="0"/>
        <w:jc w:val="left"/>
        <w:rPr>
          <w:rFonts w:ascii="Times New Roman" w:hAnsi="Times New Roman"/>
          <w:sz w:val="20"/>
        </w:rPr>
      </w:pPr>
      <w:r>
        <w:rPr>
          <w:rFonts w:ascii="Times New Roman" w:hAnsi="Times New Roman"/>
          <w:sz w:val="20"/>
        </w:rPr>
        <w:t xml:space="preserve">(b) All terms used in this Agreement which are defined in Article 8 or Article 9 of the UCC and which are not otherwise defined herein shall have the same meanings herein as set forth therein, provided that terms used herein which are defined in the Uniform Commercial Code as in effect in the State of Illinois on the date hereof shall continue to have the same meaning notwithstanding any replacement or amendment of such statute, and when used to define a category or categories of the Collateral which is subject to the PPSA, such terms shall include the equivalent category or categories of property set forth in the applicable PPSA. Notwithstanding the foregoing, and where the context so requires, (i) any term defined in this Agreement by reference to the “Code”, the “UCC” or the “Uniform Commercial Code” shall also have any extended, alternative or analogous meaning given to such term in the applicable PPSA,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cases for the extension, preservation or betterment of the security and rights of the Collateral, (ii) all references in this Agreement to “Article 8” shall be deemed to refer also to applicable Canadian securities transfer laws (including, without limitation, the Securities Transfer Act, 2006 (British Columbia) (collectively, the “</w:t>
      </w:r>
      <w:r>
        <w:rPr>
          <w:rFonts w:ascii="Times New Roman" w:hAnsi="Times New Roman"/>
          <w:sz w:val="20"/>
          <w:u w:val="single"/>
        </w:rPr>
        <w:t>STA</w:t>
      </w:r>
      <w:r>
        <w:rPr>
          <w:rFonts w:ascii="Times New Roman" w:hAnsi="Times New Roman"/>
          <w:sz w:val="20"/>
        </w:rPr>
        <w:t xml:space="preserve">”)) and (iii) all references in this Agreement to a financing statement, continuation statement, amendment or termination statement shall be deemed to refer also to the analogous documents used under applicable Canadian personal property security laws, including, without limitation, where applicable, financing change statements. </w:t>
      </w:r>
    </w:p>
    <w:p>
      <w:pPr>
        <w:pStyle w:val="TextBody"/>
        <w:bidi w:val="0"/>
        <w:spacing w:before="120" w:after="0"/>
        <w:jc w:val="left"/>
        <w:rPr>
          <w:rFonts w:ascii="Times New Roman" w:hAnsi="Times New Roman"/>
          <w:sz w:val="20"/>
        </w:rPr>
      </w:pPr>
      <w:r>
        <w:rPr>
          <w:rFonts w:ascii="Times New Roman" w:hAnsi="Times New Roman"/>
          <w:sz w:val="20"/>
        </w:rPr>
        <w:t>(c) For purposes of any Collateral located in the Province of Québec or charged by any deed of hypothec (or any Loan Document) and for all other purposes pursuant to which the interpretation or construction of an Loan Document may be subject to the laws of the Province of Québec or a court or tribunal exercising jurisdiction in the Province of Québec, (i) “personal property” shall include “movable property”, (ii) “real property” or “real estate” shall include “immovable property”, (iii) “tangible property” shall include “corporeal property”, (iv) “intangible property” shall include “incorporeal property”, (v) “security interest”, “mortgage” and “lien” shall include a “hypothec”, “right of retention”, “prior claim”, “reservation of ownership” and a resolutory clause, (vi) all references to filing, perfection, priority, remedies, registering or recording under the UCC or the PPSA shall include publication under the Civil Code of Québec, (vii) all references to “perfection” of or “perfected” Liens or security interest shall include a reference to an “opposable” or “set up” hypothec as against third parties, (viii) any “right of offset”, “right of setoff” or similar expression shall include a “right of compensation”, (ix) “goods” shall include “corporeal movable property” other than chattel paper, documents of title, instruments, money and securities, (x) an “agent” shall include a “mandatary” or “hypothecary representative”, (xi) “construction liens” or “mechanics, materialmen, repairmen, construction contractors or other like Liens” shall include “legal hypothecs” and “legal hypothecs in favor of persons having taken part in the construction or renovation of an immovable”, (xii) “joint and several” shall include “solidary”, (xiii) “gross negligence or willful misconduct” shall be deemed to be “intentional or gross fault”, (xiv) “beneficial ownership” shall include “ownership on behalf of another as mandatary”, (xv) “easement” shall include “servitude”, (xvi) “priority” shall include “rank” or “prior claim”, as applicable</w:t>
      </w:r>
      <w:r>
        <w:rPr>
          <w:rFonts w:ascii="Times New Roman" w:hAnsi="Times New Roman"/>
          <w:color w:val="0000FF"/>
          <w:sz w:val="20"/>
          <w:u w:val="single"/>
          <w:bdr w:val="double" w:sz="2" w:space="1" w:color="000000"/>
        </w:rPr>
        <w:t>,</w:t>
      </w:r>
      <w:r>
        <w:rPr>
          <w:rFonts w:ascii="Times New Roman" w:hAnsi="Times New Roman"/>
          <w:sz w:val="20"/>
        </w:rPr>
        <w:t xml:space="preserve"> (xvii) “survey” shall include “certificate of location and plan”, (xviii) “state” shall include “province”, (xix) “fee simple title” shall include “absolute ownership” and “ownership” (including ownership under a right of superficies), (xx) “accounts” shall include “claims”, (xxi) “legal title” shall </w:t>
      </w:r>
      <w:r>
        <w:rPr>
          <w:rFonts w:ascii="Times New Roman" w:hAnsi="Times New Roman"/>
          <w:strike/>
          <w:color w:val="FF0000"/>
          <w:sz w:val="20"/>
        </w:rPr>
        <w:t>be including “</w:t>
      </w:r>
      <w:r>
        <w:rPr>
          <w:rFonts w:ascii="Times New Roman" w:hAnsi="Times New Roman"/>
          <w:color w:val="0000FF"/>
          <w:sz w:val="20"/>
          <w:u w:val="single"/>
          <w:bdr w:val="double" w:sz="2" w:space="1" w:color="000000"/>
        </w:rPr>
        <w:t>include “</w:t>
      </w:r>
      <w:r>
        <w:rPr>
          <w:rFonts w:ascii="Times New Roman" w:hAnsi="Times New Roman"/>
          <w:sz w:val="20"/>
        </w:rPr>
        <w:t>holding title on behalf of an owner as mandatory or prete-nom”, (xxii) “ground lease” shall include “emphyteusis” or a “lease with a right of superficies</w:t>
      </w:r>
      <w:r>
        <w:rPr>
          <w:rFonts w:ascii="Times New Roman" w:hAnsi="Times New Roman"/>
          <w:color w:val="0000FF"/>
          <w:sz w:val="20"/>
          <w:u w:val="single"/>
          <w:bdr w:val="double" w:sz="2" w:space="1" w:color="000000"/>
        </w:rPr>
        <w:t>”</w:t>
      </w:r>
      <w:r>
        <w:rPr>
          <w:rFonts w:ascii="Times New Roman" w:hAnsi="Times New Roman"/>
          <w:sz w:val="20"/>
        </w:rPr>
        <w:t xml:space="preserve">, as applicable, (xxiii) “leasehold interest” shall include a “valid lease”, (xxiv) “lease” shall include a “leasing contract” and (xxv) “guarantee” and “guarantor” shall include “suretyship” and “surety”,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provided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or other liabilities of any Borrower or any Subsidiary at “fair value”, as defined therein and (ii)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Notwithstanding anything to the contrary contained in this Section 1.04 or in the definition of “Capital Lease Obligations,” any change in accounting for leases pursuant to GAAP resulting from the adoption of Financial Accounting Standards Board Accounting Standards Update No. 2016-02, Leases (Topic 842) (“</w:t>
      </w:r>
      <w:r>
        <w:rPr>
          <w:rFonts w:ascii="Times New Roman" w:hAnsi="Times New Roman"/>
          <w:sz w:val="20"/>
          <w:u w:val="single"/>
        </w:rPr>
        <w:t>FAS 842”</w:t>
      </w:r>
      <w:r>
        <w:rPr>
          <w:rFonts w:ascii="Times New Roman" w:hAnsi="Times New Roman"/>
          <w:sz w:val="20"/>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Interest Rates</w:t>
      </w:r>
      <w:r>
        <w:rPr>
          <w:rFonts w:ascii="Times New Roman" w:hAnsi="Times New Roman"/>
          <w:sz w:val="20"/>
        </w:rPr>
        <w:t xml:space="preserve">; Benchmark Notification. The interest rate on a Loan may be derived from an interest rate benchmark that may be discontinued or is, or may in the future become, the subject of regulatory reform. Upon the occurrence of a Benchmark Transition Event or a Term CORRA Reelection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Pro Forma Adjustments for Acquisitions and Dispositions;</w:t>
      </w:r>
      <w:r>
        <w:rPr>
          <w:rFonts w:ascii="Times New Roman" w:hAnsi="Times New Roman"/>
          <w:sz w:val="20"/>
        </w:rPr>
        <w:t xml:space="preserve"> </w:t>
      </w:r>
      <w:r>
        <w:rPr>
          <w:rFonts w:ascii="Times New Roman" w:hAnsi="Times New Roman"/>
          <w:color w:val="0000FF"/>
          <w:sz w:val="20"/>
          <w:u w:val="single"/>
          <w:bdr w:val="double" w:sz="2" w:space="1" w:color="000000"/>
        </w:rPr>
        <w:t xml:space="preserve">Determination of Basket Amounts; </w:t>
      </w:r>
      <w:r>
        <w:rPr>
          <w:rFonts w:ascii="Times New Roman" w:hAnsi="Times New Roman"/>
          <w:sz w:val="20"/>
          <w:u w:val="single"/>
        </w:rPr>
        <w:t>Limited Condition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a Borrower or any Restricted Subsidiary (x) makes any Acquisition permitted hereunder or Disposition of assets outside the ordinary course of business permitted hereunder during the period of four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most recently ended or (y) consummates any transaction that requires any pro forma calculation as a condition thereto or in connection therewith under the terms of this Agreement, then, in each case, (i) the First Lien Net Leverage Ratio, Secured Net Leverage Ratio, Total Net Leverage Ratio, and Interest Coverage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in effect prior to January 1, 2021, as interpreted by the SEC, and as certified by a Financial Officer of the Company), as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Acquisition, such Disposition or such other transaction (and any related incurrence, repayment or assumption of Indebtedness) had occurred in the first day of such four-quarter period, (ii) unless otherwise expressly required hereunder, such pro forma calculation shall be determined by reference to the financial statements for the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ended on or most recently prior to the date of such calculation for which financial statements have been delivered to the Administrative Agent pursuant to Section 5.01(a) or 5.01(b) (or, if prior to the delivery of any such financial statements, ending with the last fiscal quarter included in the financial statements referred to in Section 3.04(a)), and (iii) any such calculation made by reference to, or requiring pro forma compliance with, the financial covenants shall be made by reference to the financial covenant levels required under Section 6.12 (</w:t>
      </w:r>
      <w:r>
        <w:rPr>
          <w:rFonts w:ascii="Times New Roman" w:hAnsi="Times New Roman"/>
          <w:strike/>
          <w:color w:val="FF0000"/>
          <w:sz w:val="20"/>
        </w:rPr>
        <w:t>without giving effect to</w:t>
      </w:r>
      <w:r>
        <w:rPr>
          <w:rFonts w:ascii="Times New Roman" w:hAnsi="Times New Roman"/>
          <w:color w:val="0000FF"/>
          <w:sz w:val="20"/>
          <w:u w:val="single"/>
          <w:bdr w:val="double" w:sz="2" w:space="1" w:color="000000"/>
        </w:rPr>
        <w:t>as if</w:t>
      </w:r>
      <w:r>
        <w:rPr>
          <w:rFonts w:ascii="Times New Roman" w:hAnsi="Times New Roman"/>
          <w:sz w:val="20"/>
        </w:rPr>
        <w:t xml:space="preserve"> any Total Net Leverage Ratio Adjustment </w:t>
      </w:r>
      <w:r>
        <w:rPr>
          <w:rFonts w:ascii="Times New Roman" w:hAnsi="Times New Roman"/>
          <w:strike/>
          <w:color w:val="FF0000"/>
          <w:sz w:val="20"/>
        </w:rPr>
        <w:t>(other than in the case of determining satisfaction of the conditions to a Permitted Acquisition)</w:t>
      </w:r>
      <w:r>
        <w:rPr>
          <w:rFonts w:ascii="Times New Roman" w:hAnsi="Times New Roman"/>
          <w:color w:val="0000FF"/>
          <w:sz w:val="20"/>
          <w:u w:val="single"/>
          <w:bdr w:val="double" w:sz="2" w:space="1" w:color="000000"/>
        </w:rPr>
        <w:t>had occurred on the first day of such four-quarter period</w:t>
      </w:r>
      <w:r>
        <w:rPr>
          <w:rFonts w:ascii="Times New Roman" w:hAnsi="Times New Roman"/>
          <w:sz w:val="20"/>
        </w:rPr>
        <w:t xml:space="preserve">) for the quarter during which such Acquisition, Disposition or other transaction was consummated (or, if there is no financial covenant required to be tested during such fiscal quarter, the financial covenant level for the first testing period scheduled to occur after the date of such calculation). In addition to the foregoing, and notwithstanding anything in this Agreement to the contrary, to the extent any Indebtedness is incurred or assumed in connection with any transaction permitted hereunder, any pro forma determination of the First Lien Net Leverage Ratio, Secured Net Leverage Ratio, Total Net Leverage Ratio or compliance with the financial covenants or any minimum liquidity required to be made under this Agreement in connection with such transaction shall be made without including the proceeds of such incurred or assumed Indebtedness as Unrestricted Cash.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For purposes of determining compliance with Section 6.01, at any time, in the event that any Indebtedness (whether at the time of incurrence or upon application of all or a portion of the proceeds thereof), meets, at the time of such transaction, the criteria of one or more than one of the categories of transactions permitted pursuant to any clause of such Section, such transaction (or portion thereof) at such time shall be permitted under one or more of such clauses as </w:t>
      </w:r>
      <w:r>
        <w:rPr>
          <w:rFonts w:ascii="Times New Roman" w:hAnsi="Times New Roman"/>
          <w:color w:val="008000"/>
          <w:sz w:val="20"/>
          <w:u w:val="single"/>
          <w:bdr w:val="double" w:sz="2" w:space="1" w:color="000000"/>
        </w:rPr>
        <w:t xml:space="preserve">determined by the Company in </w:t>
      </w:r>
      <w:r>
        <w:rPr>
          <w:rFonts w:ascii="Times New Roman" w:hAnsi="Times New Roman"/>
          <w:color w:val="0000FF"/>
          <w:sz w:val="20"/>
          <w:u w:val="single"/>
          <w:bdr w:val="double" w:sz="2" w:space="1" w:color="000000"/>
        </w:rPr>
        <w:t>its sole discretion, and thereafter may be reclassified or divided (as if incurred or made at such later time) among one or more than one of the categories of transactions permitted pursuant to any clause of such Section, as applicable, by the Company in its sole discretion so long as such transaction would be permitted to be incurred or made under such Section, as applicable, at the time of such reclassification or division, in each case, other than the Obligations under the Loan Documents or the Liens created pursuant to any Loan Document securing the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Notwithstanding anything set forth herein to the contrary, with respect to any Indebtedness incurred in reliance on a provision of this Agreement that does not require compliance with a financial ratio or test (including, without limitation, the First Lien Net Leverage Ratio, the Secured Net Leverage Ratio or the Total Net Leverage Ratio) (other than the incurrence of Revolving Loans) (any such provision, a “Fixed Basket”) substantially concurrently with any amounts incurred or transactions entered into (or consummated) in reliance on a provision of this Agreement in the same covenant that requires compliance with a financial ratio or test (including, the First Lien Net Leverage Ratio, the Secured Net Leverage Ratio or the Total Net Leverage Ratio) (any such provision, a “Non-Fixed Basket”), it is understood and agreed that (i) the amount relying upon any Fixed Basket shall be disregarded in the calculation of the financial ratio or test applicable to any Non-Fixed Basket, but giving full pro forma effect to all applicable and related transactions, and (ii) thereafter, the incurrence of any amounts or entry into (or consummation of) any transactions relying on any Fixed Basket shall be calculated.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(iii) If any Lien, Indebtedness, Disqualified Stock, Disposition, Investment, Restricted Payment or other transaction, action, judgment or amount (any of the foregoing in concurrent transactions, a single transaction or a series of related transactions) is incurred, issued, taken or consummated in reliance on categories of baskets measured by reference to a percentage of Applicable EBITDA, and any Lien, Indebtedness, Disqualified Stock, Disposition, Investment, Restricted Payment or other transaction, action, judgment or amount (including in connection with refinancing thereof) would subsequently exceed the applicable percentage of Applicable EBITDA if calculated based on the Applicable EBITDA on a later date (including the date of any refinancing or re-classification), such percentage of Applicable EBITDA will not be deemed to be exceeded (so long as, in the case of refinancing any Indebtedness or Disqualified Stock (and any related Lien), the principal amount or the liquidation preference of such newly incurred or issued Indebtedness or Disqualified Stock does not exceed the maximum principal amount, liquidation preference or amount of Refinance Indebtedness in respect of the Indebtedness or Disqualified Stock being refinanced, extended, replaced, refunded, renewed or defeased).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(c) </w:t>
      </w:r>
      <w:r>
        <w:rPr>
          <w:rFonts w:ascii="Times New Roman" w:hAnsi="Times New Roman"/>
          <w:strike/>
          <w:color w:val="FF0000"/>
          <w:sz w:val="20"/>
        </w:rPr>
        <w:t>(b) </w:t>
      </w:r>
      <w:r>
        <w:rPr>
          <w:rFonts w:ascii="Times New Roman" w:hAnsi="Times New Roman"/>
          <w:sz w:val="20"/>
        </w:rPr>
        <w:t xml:space="preserve">When (x) calculating the First Lien Net Leverage Ratio, the Secured Net Leverage Ratio or the Total Net Leverage Ratio, the amount or the availability of the Available Amount or any other test, basket or exception based on Applicable EBITDA or Consolidated Total Assets, (y) determining compliance with any provision of this Agreement or any other Loan Document that requires that any representations and warranties of the Company or any other Loan Party set forth herein or in any other Loan Document be true and correct as of a specified date or that no Default or Event of Default or has occurred, is continuing or would result therefrom or (z) determining satisfaction of any condition precedent </w:t>
      </w:r>
      <w:r>
        <w:rPr>
          <w:rFonts w:ascii="Times New Roman" w:hAnsi="Times New Roman"/>
          <w:color w:val="0000FF"/>
          <w:sz w:val="20"/>
          <w:u w:val="single"/>
          <w:bdr w:val="double" w:sz="2" w:space="1" w:color="000000"/>
        </w:rPr>
        <w:t xml:space="preserve">(including any requirement set forth in the definition of the term “Permitted Acquisition”) </w:t>
      </w:r>
      <w:r>
        <w:rPr>
          <w:rFonts w:ascii="Times New Roman" w:hAnsi="Times New Roman"/>
          <w:sz w:val="20"/>
        </w:rPr>
        <w:t xml:space="preserve">to any action set forth herein or in any other Loan Document (except, in the case of this </w:t>
      </w:r>
      <w:r>
        <w:rPr>
          <w:rFonts w:ascii="Times New Roman" w:hAnsi="Times New Roman"/>
          <w:sz w:val="20"/>
          <w:u w:val="single"/>
        </w:rPr>
        <w:t>clause (z)</w:t>
      </w:r>
      <w:r>
        <w:rPr>
          <w:rFonts w:ascii="Times New Roman" w:hAnsi="Times New Roman"/>
          <w:sz w:val="20"/>
        </w:rPr>
        <w:t xml:space="preserve">, with respect to determining the satisfaction of the conditions under </w:t>
      </w:r>
      <w:r>
        <w:rPr>
          <w:rFonts w:ascii="Times New Roman" w:hAnsi="Times New Roman"/>
          <w:sz w:val="20"/>
          <w:u w:val="single"/>
        </w:rPr>
        <w:t>Section 4.02</w:t>
      </w:r>
      <w:r>
        <w:rPr>
          <w:rFonts w:ascii="Times New Roman" w:hAnsi="Times New Roman"/>
          <w:sz w:val="20"/>
        </w:rPr>
        <w:t xml:space="preserve"> for the making of a Revolving Loan or any condition requiring the absence of a specific Default or Events of Default on the date of consummation of any Limited Condition Acquisition), in each case, solely in connection with the consummation of a Limited Condition Acquisition, at the option of the Company (the Company’s election to exercise such option in connection with any Limited Condition Acquisition, an “</w:t>
      </w:r>
      <w:r>
        <w:rPr>
          <w:rFonts w:ascii="Times New Roman" w:hAnsi="Times New Roman"/>
          <w:sz w:val="20"/>
          <w:u w:val="single"/>
        </w:rPr>
        <w:t>LCA Election</w:t>
      </w:r>
      <w:r>
        <w:rPr>
          <w:rFonts w:ascii="Times New Roman" w:hAnsi="Times New Roman"/>
          <w:sz w:val="20"/>
        </w:rPr>
        <w:t>”), the date of determination of whether any such action is permitted hereunder shall be deemed to be the date the Limited Condition Acquisition Agreement is entered into (the “</w:t>
      </w:r>
      <w:r>
        <w:rPr>
          <w:rFonts w:ascii="Times New Roman" w:hAnsi="Times New Roman"/>
          <w:sz w:val="20"/>
          <w:u w:val="single"/>
        </w:rPr>
        <w:t>LCA Test Date</w:t>
      </w:r>
      <w:r>
        <w:rPr>
          <w:rFonts w:ascii="Times New Roman" w:hAnsi="Times New Roman"/>
          <w:sz w:val="20"/>
        </w:rPr>
        <w:t xml:space="preserve">”) and if, on a pro forma basis after giving effect to such Limited Condition Acquisition and the other transactions to be entered into in connection therewith (including any incurrence of Indebtedness and the use of proceeds thereof) as if they occurred at the beginning of the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most recently ended prior to the LCA Test Date, the applicable Loan Party could have taken such action on the relevant LCA Test Date in compliance with such ratio, test or basket, provision or condition precedent, the applicable Loan Party shall be deemed to be in compliance with such ratio, test or basket, provision or condition precedent for all purposes. For the avoidance of doubt, if any such ratios are exceeded as a result of fluctuations in such ratio (including due to fluctuations in EBITDA or total assets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or the Person subject to such Limited Condition Acquisition) at or prior to the consummation of the relevant Limited Condition Acquisition, such ratios and other provisions will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deemed to have been exceeded as a result of such fluctuations solely for purposes of determining whether the relevant Limited Condition Acquisition is permitted hereunder. If the Company has made an LCA Election for any Limited Condition Acquisition, then in connection with any subsequent calculation of any ratio, test or basket availability with respect to any other transaction on or following the relevant LCA Test Date and prior to the earlier of (i) the date on which such Limited Condition Acquisition is consummated, and (ii) the date that the definitive agreement for such Limited Condition Acquisition is terminated or expires without consummation of such Limited Condition Acquisition, any such ratio, test or basket shall be calculated on a pro forma basis assuming such Limited Condition Acquisition and other transactions in connection therewith (including any incurrence of Indebtedness and the use of proceeds thereof) have been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Status of Obligations</w:t>
      </w:r>
      <w:r>
        <w:rPr>
          <w:rFonts w:ascii="Times New Roman" w:hAnsi="Times New Roman"/>
          <w:sz w:val="20"/>
        </w:rPr>
        <w:t xml:space="preserve">.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(x)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 and (y) “first lien obligations” or words of similar import under and in respect of any Applicable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Rounding</w:t>
      </w:r>
      <w:r>
        <w:rPr>
          <w:rFonts w:ascii="Times New Roman" w:hAnsi="Times New Roman"/>
          <w:sz w:val="20"/>
        </w:rPr>
        <w:t xml:space="preserve">. 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Divisions</w:t>
      </w:r>
      <w:r>
        <w:rPr>
          <w:rFonts w:ascii="Times New Roman" w:hAnsi="Times New Roman"/>
          <w:sz w:val="20"/>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Exchange Rates; Currency Equivalents</w:t>
      </w:r>
      <w:r>
        <w:rPr>
          <w:rFonts w:ascii="Times New Roman" w:hAnsi="Times New Roman"/>
          <w:sz w:val="20"/>
        </w:rPr>
        <w:t xml:space="preserve">. (a) The Administrative Agent or the Issuing Bank, as applicable, shall determine the Dollar Equivalent amounts of Borrowings or Letter of Credit extensions denominated in Alternative Currencies on each Revaluation Date. Such Dollar Equivalent shall become effective as of such Revaluation Date and shall be the Dollar Equivalent of such amounts until the next Revaluation Date to occur. Except for purposes of financial statements delivered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hereunder or calculating financial covenants hereunder or except as otherwise provided herein, the applicable amount of any Alternative Currency for purposes of the Loan Documents shall be such Dollar Equivalent amount as so determined by the Administrative Agent or the Issuing Bank,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Wherever in this Agreement in connection with a Borrowing, conversion, continuation or prepayment of a Loan or the issuance, amendment or extension of a Letter of Credit, an amount, such as a required minimum or multiple amount, is expressed in Dollars, but such Borrowing, Loan or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Amendment and Restatement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to this Agreement agree that, on the Effective Date, the terms and provisions of the Existing Credit Agreement shall be and hereby are amended, superseded and restated in their entirety by the terms and provisions of this Agreement. Neither the execution, delivery and acceptance of this Agreement nor any of the terms, covenants, conditions or other provisions set forth herein are intended, nor shall they be deemed or construed, to effect a novation of any liens or indebtedness or other obligations under the Existing Credit Agreement or any other Loan Document (as defined in the Existing Credit Agreement) or to pay, extinguish, release, satisfy or discharge (i) all or any part of the indebtedness or other obligations evidenced by the Existing Credit Agreement, (ii) the liability of any Person under the Existing Credit Agreement or the Loan Documents (as defined under the Existing Credit Agreement) executed and delivered in connection therewith, (iii) the liability of any Person with respect to the Existing Credit Agreement or any indebtedness or other obligations evidenced thereby, or (iv) any deeds of trust, mortgages, liens, security interests or contractual or legal rights securing all or any part of such indebtedness or other obligations. All Loans made, and Obligations incurred, under the Existing Credit Agreement which are outstanding on the Effective Date (and not terminated or otherwise repaid with the proceeds of any Loans made hereunder on the Effective Date) shall be re-evidenced as Loans and Obligations, respectively, under (and shall be governed by the terms of)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Without limiting the foregoing, upon the effectiveness of the amendment and restatement contemplated hereby on the Effective Date and except as otherwise expressly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(i) all references in the “Loan Documents” (as defined in the Existing Credit Agreement) to the “Administrative Agent”, the “Credit Agreement” and the “Loan Documents” shall be deemed to refer to the Administrative Agent, this Agreement and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the “Commitments” (as defined in the Existing Credit Agreement) shall continue as Revolving Commitments hereunder as set forth on the </w:t>
      </w:r>
      <w:r>
        <w:rPr>
          <w:rFonts w:ascii="Times New Roman" w:hAnsi="Times New Roman"/>
          <w:sz w:val="20"/>
          <w:u w:val="single"/>
        </w:rPr>
        <w:t>Commitment Schedule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the “Revolving Loans” (as defined in the Existing Credit Agreement) outstanding under the Existing Credit Agreement, if any, shall continue as Revolving Loans hereunder; </w:t>
      </w:r>
    </w:p>
    <w:p>
      <w:pPr>
        <w:pStyle w:val="TextBody"/>
        <w:bidi w:val="0"/>
        <w:spacing w:before="120" w:after="0"/>
        <w:jc w:val="left"/>
        <w:rPr>
          <w:rFonts w:ascii="Times New Roman" w:hAnsi="Times New Roman"/>
          <w:sz w:val="20"/>
        </w:rPr>
      </w:pPr>
      <w:r>
        <w:rPr>
          <w:rFonts w:ascii="Times New Roman" w:hAnsi="Times New Roman"/>
          <w:sz w:val="20"/>
        </w:rPr>
        <w:t xml:space="preserve">(iv) the Administrative Agent shall make such reallocations, sales, assignments or other relevant actions in respect of each Lender’s Revolving Exposure (as defined in and in effect under the Existing Credit Agreement) as are necessary in order that each Lender’s Credit Exposure hereunder reflects such Lender’s Applicable Percentage thereof on the Effective Date (and in no event exceeds each such Lender’s Term Loan Commitments or Revolving Commitments, as applicable, hereunder), and the Borrowers and each Lender that was a “Lender” under the Existing Credit Agreement (constituting the “Required Lenders” under and as defined therein) hereby agrees (with effect immediately prior to the Effective Date) that (x) such reallocation, sales and assignments shall be deemed to have been effected by way of, and subject to the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Assignment and Assumptions, without the payment of any related assignment fee, and no other documents or instruments shall be, or shall be required to be, executed in connection with such assignments (all of which are hereby waived), (y) such reallocation shall satisfy the assignment provisions of Sections 9.02(d) and 9.04 of the Existing Credit Agreement and (z) in connection with such reallocation, sales, assignments or other relevant actions, the Borrowers shall pay all interest and fees outstanding under the Existing Credit Agreement and accrued to the date hereof to the Administrative Agent for the account of the Lenders party hereto, together with any losses, costs and expenses incurred by Lenders under Section 2.16 of the Existing Credit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each of the signatories hereto that is also a party to the Existing Credit Agreement hereby consents to any of the actions described in this Section 1.11 and agrees that any and all required notices and required notice periods under the Existing Credit Agreement in connection with any of the actions described in this Section 1.11 (including, without limitation, any prepayments or commitment reductions or terminations) on the Effective Date are hereby waived and of no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each Loan Party party hereto, as debtor, grantor, pledgor, guarantor, or another similar capacity in which such Loan Party grants liens or security interests in its properties or otherwise acts as a guarantor, joint or several obligor or other accommodation party, as the case may be, in each case under the “Loan Documents” as defined in the Existing Credit Agreement, hereby (i) ratifies and reaffirms all of its payment and performance obligations, contingent or otherwise, under each of the “Loan Documents” as defined in the Existing Credit Agreement to which it is a party and (ii) to the extent such Loan Party granted liens on or security interests in any of its properties pursuant to any of the “Loan Documents” as defined in the Existing Credit Agreement, hereby ratifies and reaffirms such grant of security (and any filings with Governmental Authorities made in connection therewith) and confirms that such liens and security interests continue to secure the Obligations.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SECTION  1.12. Cashless Rollovers. Notwithstanding anything to the contrary in this Agreement or any other Loan Document, any Lender may exchange, continue or rollover all or any portion of its Loans and Commitments under any Facility in connection with any refinancing, extension, loan modification or similar transaction permitted by the terms of this Agreement or any other Loan Document, pursuant to a cashless settlement mechanism approved by the Borrower Representative, the Administrative Agent, and such Lender.</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u w:val="single"/>
        </w:rPr>
        <w:t>The Credits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each Revolving Lender severally (and not jointly) agrees to make Revolving Loans in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or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color w:val="0000FF"/>
          <w:sz w:val="20"/>
        </w:rPr>
        <w:t xml:space="preserve"> </w:t>
      </w:r>
      <w:r>
        <w:rPr>
          <w:rFonts w:ascii="Times New Roman" w:hAnsi="Times New Roman"/>
          <w:sz w:val="20"/>
        </w:rPr>
        <w:t xml:space="preserve">or another Alternative Currency to the Borrowers from time to time during the Availability Period in an aggregate principal amount that will not result (after giving effect to any application of proceeds of such Borrowing pursuant to Section 2.10(a)) in (i) the Dollar Equivalent of such Lender’s Revolving Exposure exceeding such Lender’s Revolving Commitment or (ii) the Dollar Equivalent of the Aggregate Revolving Exposure exceeding the aggregate Revolving Commitments. Within the foregoing limits and subject to the terms and conditions set forth herein, the Borrowers may borrow, prepay and reborrow Revolving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terms and conditions set forth herein, each Initial Term Lender severally (and not jointly) agrees to make an Initial Term Loan in dollars to the Company, on the Effective Date, in a principal amount not to exceed such Lender’s Initial Term Loan Commitment, by making immediately available funds available to the Administrative Agent’s designated account not later than the time specified by the Administrative Agent. Amounts prepaid or repaid in respect of Initial Term Loans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to the contrary contained in this Agreement or in any other Loan Document, no Canadian Loan Party shall be obligated under this Agreement or any other Loan Document to repay, support or guaranty any of the U.S. Secured Obligations or any other obligations of any U.S. Loan Party under any Loan Document, and the proceeds of any payment made by a Canadian Loan Party hereunder shall be applied only to the repayment of the Canadian Secured Obligations and any other obligations of the Canadian Loan Parties hereunder or under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Loans and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(other than a Swingline Loan) shall be made as part of a Borrowing consisting of Loans of the same Class, Type and Agreed Currency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2.11. </w:t>
      </w:r>
    </w:p>
    <w:p>
      <w:pPr>
        <w:pStyle w:val="TextBody"/>
        <w:bidi w:val="0"/>
        <w:spacing w:before="120" w:after="0"/>
        <w:jc w:val="left"/>
        <w:rPr>
          <w:rFonts w:ascii="Times New Roman" w:hAnsi="Times New Roman"/>
          <w:sz w:val="20"/>
        </w:rPr>
      </w:pPr>
      <w:r>
        <w:rPr>
          <w:rFonts w:ascii="Times New Roman" w:hAnsi="Times New Roman"/>
          <w:sz w:val="20"/>
        </w:rPr>
        <w:t xml:space="preserve">(b) Subject to Section 2.14, each Revolving Borrowing denominated in Dollars shall be comprised entirely of ABR Loans or Term Benchmark Loans, each Revolving Borrowing denominated in Canadian Dollars shall be comprised entirely of Canadian Prime Rate Loans or Term Benchmark Loans, and each Term Loan Borrowing shall be denominated in dollars and shall be comprised entirely of ABR Loans or Term Benchmark Loans, in each case, as the Borrower Representative may request in accordance herewith. Each Swingline Loan shall be an ABR Loan denominated in dollars. Each Lender at its option may make any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Borrowers to repay such Loan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At the commencement of each Interest Period for any Term Benchmark Borrowing, such Borrowing shall be in an aggregate amount that is an integral multiple of $100,000 and not less than $500,000. At the time that each ABR Borrowing or Canadian Prime Rate Borrowing is made, such Borrowing shall be in an aggregate amount that is an integral multiple of $100,000 and not less than $500,000; </w:t>
      </w:r>
      <w:r>
        <w:rPr>
          <w:rFonts w:ascii="Times New Roman" w:hAnsi="Times New Roman"/>
          <w:sz w:val="20"/>
          <w:u w:val="single"/>
        </w:rPr>
        <w:t>provided</w:t>
      </w:r>
      <w:r>
        <w:rPr>
          <w:rFonts w:ascii="Times New Roman" w:hAnsi="Times New Roman"/>
          <w:sz w:val="20"/>
        </w:rPr>
        <w:t xml:space="preserve"> that an ABR Borrowing or a Canadian Prime Rate Borrowing may be in an aggregate amount that is equal to the entire unused balance of the total Commitments of the applicable Class or, in the case of Revolving Loans, that is required to finance the reimbursement of an LC Disbursement as contemplated by Section 2.06(e). Each Swingline Loan shall be in an amount that is an integral multiple of $50,000 and not less than $100,000.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twelve (12) Term Benchmark Borrowings and RFR Borrowings outstanding.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 other provision of this Agreement, the Borrowers shall not be entitled to request, or to elect to convert or continue, any Borrowing if the Interest Period requested with respect thereto would end after the Maturity Date applicable to such Class of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Borrowings</w:t>
      </w:r>
      <w:r>
        <w:rPr>
          <w:rFonts w:ascii="Times New Roman" w:hAnsi="Times New Roman"/>
          <w:sz w:val="20"/>
        </w:rPr>
        <w:t xml:space="preserve">. To request a Borrowing (other than a Swingline Loan), the Borrower Representative shall notify the Administrative Agent of such request by submitting a Borrowing Request to the Administrative Agent through any Electronic System or the Approved Borrower Portal, if arrangements for doing so have been approved by the Administrative Agent, (a) in the case of a Term Benchmark Borrowing, not later than 10:00 a.m., Chicago time, three (3) Business Days before the date of the proposed Borrowing (or, in respect of any Term Benchmark Borrowing to be consummated </w:t>
      </w:r>
      <w:r>
        <w:rPr>
          <w:rFonts w:ascii="Times New Roman" w:hAnsi="Times New Roman"/>
          <w:color w:val="0000FF"/>
          <w:sz w:val="20"/>
          <w:u w:val="single"/>
          <w:bdr w:val="double" w:sz="2" w:space="1" w:color="000000"/>
        </w:rPr>
        <w:t>(x) </w:t>
      </w:r>
      <w:r>
        <w:rPr>
          <w:rFonts w:ascii="Times New Roman" w:hAnsi="Times New Roman"/>
          <w:sz w:val="20"/>
        </w:rPr>
        <w:t xml:space="preserve">on the Effective Date, not later than 11:00 a.m., Chicago time, one (1) Business Day before the date of the proposed </w:t>
      </w:r>
      <w:r>
        <w:rPr>
          <w:rFonts w:ascii="Times New Roman" w:hAnsi="Times New Roman"/>
          <w:color w:val="0000FF"/>
          <w:sz w:val="20"/>
          <w:u w:val="single"/>
          <w:bdr w:val="double" w:sz="2" w:space="1" w:color="000000"/>
        </w:rPr>
        <w:t xml:space="preserve">Borrowing or (y) with respect to the Take-Private Transaction, not later than 11:00 a.m., Chicago time, two (2) Business Days before the date of the proposed </w:t>
      </w:r>
      <w:r>
        <w:rPr>
          <w:rFonts w:ascii="Times New Roman" w:hAnsi="Times New Roman"/>
          <w:sz w:val="20"/>
        </w:rPr>
        <w:t xml:space="preserve">Borrowing) or (b) in the case of an ABR Borrowing or a Canadian Prime Rate Borrowing, not later than 10:00 a.m., Chicago time, on the date of the proposed Borrowing; provided that any such notice of an ABR Revolving Borrowing or a Canadian Prime Rate Borrowing to finance the reimbursement of an LC Disbursement as contemplated by Section 2.06(e) may be given not later than 9:00 a.m., Chicago time, on the date of the proposed Borrowing. Each such Borrowing Request shall be irrevocable and shall be signed by a Responsible Officer of the Borrower Representative; provided that, if such Borrowing Request is submitted through the Approved Borrower Portal, the foregoing signature requirement may be waived at the sole discretion of the Administrative Agent. Each such Borrowing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Class of the Borrowing and the Agreed Currency and aggregate principal amount of the requested Borrowing and a breakdown of the separate wires comprising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(ii) name of the applicable Borrower(s);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whether such Borrowing is to be an ABR Borrowing, a Canadian Prime Rate Borrowing or a Term Benchmark Borrowing; and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 Term Benchmark Borrowing,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Borrowing is specified, then the requested Borrowing shall be an ABR Borrowing if denominated in Dollars and a Canadian Prime Rate Borrowing if denominated in Canadian Dollars. If no election as to the currency of Borrowing is specified, then the requested Borrowing shall be denominated in Dollars. If no Interest Period is specified with respect to any requested Term Benchmark Borrowing, then the applicable Borrower(s)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any Borrower be permitted to request an RFR Loan denominated in Dollars (it being understood and agreed that Adjusted Daily Simple SOFR shall only apply to the extent provided in Sections 2.14(a) and 2.14(f)) or Canadian Dollars (prior to a Benchmark Transition Event and Benchmark Replacement Date with respect to Term CORRA).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Original Currency</w:t>
      </w:r>
      <w:r>
        <w:rPr>
          <w:rFonts w:ascii="Times New Roman" w:hAnsi="Times New Roman"/>
          <w:sz w:val="20"/>
        </w:rPr>
        <w:t xml:space="preserve">. To the fullest extent permitted by law, the obligation of each Borrower and each Guarantor in respect of any amount due in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or an Alternative Currency (the “relevant currency”) under this Agreement shall, notwithstanding any payment in any other currency (whether pursuant to a judgment or otherwise), be discharged only to the extent of the amount in the relevant currency that the Person entitled to receive such payment may, in accordance with normal banking procedures, purchase with the sum paid in such other currency (after any premium and costs of exchange) on the Business Day immediately following the day on which such Person receives such payment. If the amount of the relevant currency so purchased is less than the sum originally due to such Person in the relevant currency, the relevant Borrower or Guarantor agrees, as a separate obligation and notwithstanding any such judgment, to indemnify such Person against such loss, and if the amount of the specified currency so purchased exceeds the sum of (a) the amount originally due to the relevant Person in the specified currency plus (b) any amounts shared with other Lenders as a result of allocations of such excess as a disproportionate payment to such Person under Section 2.18(d) hereof, such Person agrees to remit such excess to the applicable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Swingline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terms and conditions set forth herein, from time to time during the Availability Period, the Swingline Lender may agree, but shall have no obligation, to make Swingline Loans to the U.S. Borrowers, in dollars, in an aggregate principal amount at any time outstanding that will not result in (i) the aggregate principal amount of outstanding Swingline Loans exceeding the Dollar Equivalent of the Swingline Lender’s Swingline Commitment, (ii) the Dollar Equivalent of any Lender’s Revolving Exposure exceeding its Revolving Commitment, or (iii) the Aggregate Revolving Exposures exceeding the aggregate Revolving Commitments; </w:t>
      </w:r>
      <w:r>
        <w:rPr>
          <w:rFonts w:ascii="Times New Roman" w:hAnsi="Times New Roman"/>
          <w:sz w:val="20"/>
          <w:u w:val="single"/>
        </w:rPr>
        <w:t>provided</w:t>
      </w:r>
      <w:r>
        <w:rPr>
          <w:rFonts w:ascii="Times New Roman" w:hAnsi="Times New Roman"/>
          <w:sz w:val="20"/>
        </w:rPr>
        <w:t xml:space="preserve"> that the Swingline Lender shall not be required to make a Swingline Loan to refinance an outstanding Swingline Loan. Within the foregoing limits and subject to the terms and conditions set forth herein, the U.S. Borrowers may borrow, prepay and reborrow Swingline Loans. To request a Swingline Loan, the Borrower Representative shall notify the Administrative Agent of such request through any Electronic System or the Approved Borrower Portal, in each case to the extent arrangements for doing so have been approved by the Administrative Agent, not later than 1:00 p.m., Chicago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 Representative. The Swingline Lender shall make each Swingline Loan available to the U.S. Borrowers, to the extent the Swingline Lender elects to make such Swingline Loan by means of a credit to the Funding Account(s) (or, in the case of a Swingline Loan made to finance the reimbursement of an LC Disbursement as provided in Section 2.06(e), by remittance to the Issuing Bank, and in the case of repayment of another Loan or fees or expenses as provided by Section 2.18(c), by remittance to the Administrative Agent to be distributed to the applicable Lenders) by 2:00 p.m., Chicago time, on the requested date of such Swingline Loan. </w:t>
      </w:r>
    </w:p>
    <w:p>
      <w:pPr>
        <w:pStyle w:val="TextBody"/>
        <w:bidi w:val="0"/>
        <w:spacing w:before="120" w:after="0"/>
        <w:jc w:val="left"/>
        <w:rPr>
          <w:rFonts w:ascii="Times New Roman" w:hAnsi="Times New Roman"/>
          <w:sz w:val="20"/>
        </w:rPr>
      </w:pPr>
      <w:r>
        <w:rPr>
          <w:rFonts w:ascii="Times New Roman" w:hAnsi="Times New Roman"/>
          <w:sz w:val="20"/>
        </w:rPr>
        <w:t xml:space="preserve">(b) 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Chicago time, on a Business Day no later than 4:00 p.m., Chicago time on such Business Day and if received after 11:00 a.m., Chicago time, “on a Business Day” shall mean no later than 9:00 a.m. Chicago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Revolving Loans made by such Lender (and Section 2.07 shall apply, </w:t>
      </w:r>
      <w:r>
        <w:rPr>
          <w:rFonts w:ascii="Times New Roman" w:hAnsi="Times New Roman"/>
          <w:sz w:val="20"/>
          <w:u w:val="single"/>
        </w:rPr>
        <w:t>mutatis mutandis</w:t>
      </w:r>
      <w:r>
        <w:rPr>
          <w:rFonts w:ascii="Times New Roman" w:hAnsi="Times New Roman"/>
          <w:sz w:val="20"/>
        </w:rPr>
        <w:t xml:space="preserve">, to the payment obligations of the Revolving Lenders), and the Administrative Agent shall promptly pay to the Swingline Lender the amounts so received by it from the Revolving Lenders. The Administrative Agent shall notify the Borrower Representative of any participations in any Swingline Loan acquired pursuant to this paragraph, and thereafter payments in respect of such Swingline Loan shall be made to the Administrative Agent and not to the Swingline Lender. Any amounts received by the Swingline Lender from the Borrowers (or other party on behalf of the Borrowers)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Borrowers for any reason. The purchase of participations in a Swingline Loan pursuant to this paragraph shall not relieve the Borrowers of any default in the payment thereof. </w:t>
      </w:r>
    </w:p>
    <w:p>
      <w:pPr>
        <w:pStyle w:val="TextBody"/>
        <w:bidi w:val="0"/>
        <w:spacing w:before="120" w:after="0"/>
        <w:jc w:val="left"/>
        <w:rPr>
          <w:rFonts w:ascii="Times New Roman" w:hAnsi="Times New Roman"/>
          <w:sz w:val="20"/>
        </w:rPr>
      </w:pPr>
      <w:r>
        <w:rPr>
          <w:rFonts w:ascii="Times New Roman" w:hAnsi="Times New Roman"/>
          <w:sz w:val="20"/>
        </w:rPr>
        <w:t xml:space="preserve">(c) The Swingline Lender may be replaced at any time by written agreement among the Company, the Administrative Agent, the replaced Swingline Lender and the successor Swingline Lender. The Administrative Agent shall notify the Revolving Lenders of any such replacement of the Swingline Lender. At the time any such replacement shall become effective, the Borrowers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 </w:t>
      </w:r>
    </w:p>
    <w:p>
      <w:pPr>
        <w:pStyle w:val="TextBody"/>
        <w:bidi w:val="0"/>
        <w:spacing w:before="120" w:after="0"/>
        <w:jc w:val="left"/>
        <w:rPr>
          <w:rFonts w:ascii="Times New Roman" w:hAnsi="Times New Roman"/>
          <w:sz w:val="20"/>
        </w:rPr>
      </w:pPr>
      <w:r>
        <w:rPr>
          <w:rFonts w:ascii="Times New Roman" w:hAnsi="Times New Roman"/>
          <w:sz w:val="20"/>
        </w:rPr>
        <w:t xml:space="preserve">(d) Subject to the appointment and acceptance of a successor Swingline Lender, the Swingline Lender may resign as Swingline Lender at any time upon thirty days’ prior written notice to the Administrative Agent, the Company and the Revolving Lenders, in which case, the Swingline Lender shall be replaced in accordance with Section 2.05(c)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Subject to the terms and conditions set forth herein, the Borrower Representative, on behalf of a Borrower, may request the issuance of Letters of Credit denominated in Agreed Currencies as the applicant thereof for the support of the obligations of any Borrower or any Restricted Subsidiary thereof, in a form reasonably acceptable to the Administrative Agent and the Issuing Bank, at any time and from time to time during the Availability Period; </w:t>
      </w:r>
      <w:r>
        <w:rPr>
          <w:rFonts w:ascii="Times New Roman" w:hAnsi="Times New Roman"/>
          <w:sz w:val="20"/>
          <w:u w:val="single"/>
        </w:rPr>
        <w:t>provided</w:t>
      </w:r>
      <w:r>
        <w:rPr>
          <w:rFonts w:ascii="Times New Roman" w:hAnsi="Times New Roman"/>
          <w:sz w:val="20"/>
        </w:rPr>
        <w:t xml:space="preserve"> no Issuing Bank shall be under any obligation to issue a Letter of Credit that would result in more than a total of twenty (20) Letters of Credit outstanding. In the event of any inconsistency between the terms and conditions of this Agreement and the terms and conditions of any Letter of Credit Agreement, the terms and conditions of this Agreement shall control.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in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Sanctions, or in any Sanctioned Country,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Issuance, Amendment, Extension; Certain Conditions</w:t>
      </w:r>
      <w:r>
        <w:rPr>
          <w:rFonts w:ascii="Times New Roman" w:hAnsi="Times New Roman"/>
          <w:sz w:val="20"/>
        </w:rPr>
        <w:t xml:space="preserve">. To request the issuance of a Letter of Credit (or the amendment or extension of an outstanding Letter of Credit), the Borrower Representative shall hand deliver or email as a PDF document (or transmit through any Electronic System or the Approved Borrower Portal, in each case to the extent arrangements for doing so have been approved by the Issuing Bank) to the Issuing Bank and the Administrative Agent (reasonably in advance of the requested date of issuance, amendment or extension, but in any event no less than three Business Days) a notice requesting the issuance of a Letter of Credit, or identifying the Letter of Credit to be amended, renewed or extended, and specifying the date of issuance, amendment or extension (which shall be a Business Day), the date on which such Letter of Credit is to expire (which shall comply with paragraph (c) of this Section), the amount of such Letter of Credit and whether such Letter of Credit is to be denominated in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or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color w:val="0000FF"/>
          <w:sz w:val="20"/>
        </w:rPr>
        <w:t xml:space="preserve"> </w:t>
      </w:r>
      <w:r>
        <w:rPr>
          <w:rFonts w:ascii="Times New Roman" w:hAnsi="Times New Roman"/>
          <w:sz w:val="20"/>
        </w:rPr>
        <w:t xml:space="preserve">or another Alternative Currency, the name and address of the beneficiary thereof, and such other information as shall be necessary to prepare, amend, renew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Issuing Bank and using such Issuing Bank’s standard form (each, a “Letter of Credit Agreement”). A Letter of Credit shall be issued, amended, renewed or extended only if (and upon issuance, amendment or extension of each Letter of Credit the Borrowers shall be deemed to represent and warrant that), after giving effect to such issuance, amendment or extension (i) the Dollar Equivalent of the aggregate LC Exposure shall not exceed $25,000,000, (ii) no Revolving Lender’s Revolving Exposure (or the Dollar Equivalent thereof) shall exceed its Revolving Commitment and (iii) the Dollar Equivalent of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Expiration Date</w:t>
      </w:r>
      <w:r>
        <w:rPr>
          <w:rFonts w:ascii="Times New Roman" w:hAnsi="Times New Roman"/>
          <w:sz w:val="20"/>
        </w:rPr>
        <w:t xml:space="preserve">. Each Letter of Credit shall expire (or be subject to termination or non-extension by notice from the Issuing Bank to the beneficiary thereof) at or prior to the close of business on the earlier of (i) the date one year after the date of the issuance of such Letter of Credit (or, in the case of any extension of the expiration thereof, including, without limitation, any automatic extension provision, one year after such extension) and (ii) the date that is five Business Days prior to the Revolving Credit Maturity Date (or such later date as may be agreed by the Issuing Bank in its sole discretion; </w:t>
      </w:r>
      <w:r>
        <w:rPr>
          <w:rFonts w:ascii="Times New Roman" w:hAnsi="Times New Roman"/>
          <w:sz w:val="20"/>
          <w:u w:val="single"/>
        </w:rPr>
        <w:t>provided</w:t>
      </w:r>
      <w:r>
        <w:rPr>
          <w:rFonts w:ascii="Times New Roman" w:hAnsi="Times New Roman"/>
          <w:sz w:val="20"/>
        </w:rPr>
        <w:t xml:space="preserve"> that any such Letter of Credit expiring after the date that is five (5) Business Days prior to the Revolving Credit Maturity Date shall be cash collateralized in accordance with Section 2.06(j) below). The Borrowers agree that if on the Revolving Credit Maturity Date any Letters of Credit remain outstanding the Borrowers shall then deliver to the Administrative Agent, without notice or demand, cash collateral (or in Administrative Agent and Issuing Bank’s sole discretion a backup standby letter of credit satisfactory to the Administrative Agent and the Issuing Bank) in an amount equal to 103% of the aggregate amount of LC Exposure then outstanding in the manner set forth in Section 2.06(j) (which shall be held by the Administrative Agent pursuant to the terms herein).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By the issuance of a Letter of Credit (or an amendment to a Letter of Credit increasing the amount or extending the term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Dollar Equivalent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Borrowers on the date due, in each case, as provided in paragraph (e) of this Section, or of any reimbursement payment required to be refunded to the Borrowers for any reason, including after the Revolving Credit Maturity Date.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 and that each such payment shall be made without any offset, abatement, withholding or reduction whatsoever.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Reimbursement</w:t>
      </w:r>
      <w:r>
        <w:rPr>
          <w:rFonts w:ascii="Times New Roman" w:hAnsi="Times New Roman"/>
          <w:sz w:val="20"/>
        </w:rPr>
        <w:t xml:space="preserve">. If the Issuing Bank shall make any LC Disbursement in respect of a Letter of Credit, the Borrowers shall reimburse such LC Disbursement by paying to the Administrative Agent an amount in the currency of such LC Disbursement (or, if acceptable to the Administrative Agent and the Issuing Bank, in Dollars in an amount equal to the Dollar Equivalent of such LC Disbursement calculated using the Exchange Rate on the date such LC Disbursement was made) not later than 11:00 a.m., Chicago time, on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w:t>
      </w:r>
      <w:r>
        <w:rPr>
          <w:rFonts w:ascii="Times New Roman" w:hAnsi="Times New Roman"/>
          <w:sz w:val="20"/>
          <w:u w:val="single"/>
        </w:rPr>
        <w:t>provided</w:t>
      </w:r>
      <w:r>
        <w:rPr>
          <w:rFonts w:ascii="Times New Roman" w:hAnsi="Times New Roman"/>
          <w:sz w:val="20"/>
        </w:rPr>
        <w:t xml:space="preserve"> that (x) if such LC Disbursement is denominated in Dollars or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the Borrowers may, subject to the conditions to borrowing set forth herein, request in accordance with Section 2.03 or 2.05 that such payment be financed with an ABR Revolving Borrowing or Swingline Loan (in the case of any LC Disbursement denominated in Dollars or to the extent the Administrative Agent and the Issuing Bank have agreed to accept reimbursement of the applicable LC Disbursement in Dollars, as the case may be) or a Canadian Prime Rate Borrowing (in the case of any LC Disbursement denominated in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as applicable, in the Dollar Equivalent of the equivalent amount of such LC Disbursement or (y) if such 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Disbursement is denominated in any other Agreed Currency, the Borrowers may, subject to the conditions to borrowing set forth herein, request in accordance with Section 2.03 that such payment be converted into an Equivalent Amount of an ABR Revolving Borrowing denominated in Dollars in an amount equal to the Dollar Equivalent of the equivalent amount of such Agreed Currency and, in each case, to the extent so financed, the Borrowers’ obligation to make such payment shall be discharged and replaced by the resulting ABR Revolving Borrowing or Swingline Loan or Canadian Prime Rate Borrowing, as applicable. If the Borrowers fail to make such payment when due, the Administrative Agent shall notify each Revolving Lender of the applicable LC Disbursement, the payment then due from the Borrowers in respect thereof, and the Dollar Equivalent of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Times New Roman" w:hAnsi="Times New Roman"/>
          <w:sz w:val="20"/>
          <w:u w:val="single"/>
        </w:rPr>
        <w:t>mutatis</w:t>
      </w:r>
      <w:r>
        <w:rPr>
          <w:rFonts w:ascii="Times New Roman" w:hAnsi="Times New Roman"/>
          <w:sz w:val="20"/>
        </w:rPr>
        <w:t xml:space="preserve"> </w:t>
      </w:r>
      <w:r>
        <w:rPr>
          <w:rFonts w:ascii="Times New Roman" w:hAnsi="Times New Roman"/>
          <w:sz w:val="20"/>
          <w:u w:val="single"/>
        </w:rPr>
        <w:t>mutandis</w:t>
      </w:r>
      <w:r>
        <w:rPr>
          <w:rFonts w:ascii="Times New Roman" w:hAnsi="Times New Roman"/>
          <w:sz w:val="20"/>
        </w:rPr>
        <w:t xml:space="preserve">,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a Swingline Loan or Canadian Prime Rate Revolving Loans as contemplated above) shall not constitute a Loan and shall not relieve the Borrowers of their obligation to reimburse such LC Disbursement. If any Borrower’s reimbursement of, or obligation to reimburse, any amounts in any Alternative Currency would subject the Administrative Agent, the Issuing Bank or any Lender to any stamp duty, ad valorem charge or similar tax that would not be payable if such reimbursement were made or required to be made in Dollars, the Borrowers shall, at their option, either (x) pay the amount of any such tax requested by the Administrative Agent, the Issuing Bank or the relevant Lender or (y) reimburse each LC Disbursement made in such Alternative Currency in Dollars, in an amount equal to the Dollar Equivalent thereof, calculated using the applicable Exchange Rates, on the date such LC Disbursement is made, of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Obligations Absolute</w:t>
      </w:r>
      <w:r>
        <w:rPr>
          <w:rFonts w:ascii="Times New Roman" w:hAnsi="Times New Roman"/>
          <w:sz w:val="20"/>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Alternative Currency to any Borrower or any Restricted Subsidiary or in the relevant currency markets generally. None of the Administrative Agent, the Revolving Lenders or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Issuing Bank; </w:t>
      </w:r>
      <w:r>
        <w:rPr>
          <w:rFonts w:ascii="Times New Roman" w:hAnsi="Times New Roman"/>
          <w:sz w:val="20"/>
          <w:u w:val="single"/>
        </w:rPr>
        <w:t>provided</w:t>
      </w:r>
      <w:r>
        <w:rPr>
          <w:rFonts w:ascii="Times New Roman" w:hAnsi="Times New Roman"/>
          <w:sz w:val="20"/>
        </w:rPr>
        <w:t xml:space="preserve"> that the foregoing shall not be construed to excuse the Issuing Bank from liability to the Borrowers to the extent of any direct damages (as opposed to special, indirect, consequential or punitive damages, claims in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nonappealable judgment of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Disbursement Procedures</w:t>
      </w:r>
      <w:r>
        <w:rPr>
          <w:rFonts w:ascii="Times New Roman" w:hAnsi="Times New Roman"/>
          <w:sz w:val="20"/>
        </w:rPr>
        <w:t xml:space="preserve">. The Issuing Bank shall, within the time allowed by applicable law or the specific terms of the Letter of Credit following its receipt thereof, examine all documents purporting to represent a demand for payment under a Letter of Credit. The Issuing Bank shall promptly after such examination notify the Administrative Agent and the Borrower Representative by telephone (confirmed by email or through any Electronic Systems) of such demand for payment and whether the Issuing Bank has made or will make an LC Disbursement thereunder; </w:t>
      </w:r>
      <w:r>
        <w:rPr>
          <w:rFonts w:ascii="Times New Roman" w:hAnsi="Times New Roman"/>
          <w:sz w:val="20"/>
          <w:u w:val="single"/>
        </w:rPr>
        <w:t>provided</w:t>
      </w:r>
      <w:r>
        <w:rPr>
          <w:rFonts w:ascii="Times New Roman" w:hAnsi="Times New Roman"/>
          <w:sz w:val="20"/>
        </w:rPr>
        <w:t xml:space="preserve"> that such notice need not be given prior to payment by the Issuing Bank and any failure to give or delay in giving such notice shall not relieve the Borrowers of their obligation to reimburse the Issuing Bank and the Revolving Lenders with respect to any such LC Disbursement.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Interim Interest</w:t>
      </w:r>
      <w:r>
        <w:rPr>
          <w:rFonts w:ascii="Times New Roman" w:hAnsi="Times New Roman"/>
          <w:sz w:val="20"/>
        </w:rPr>
        <w:t xml:space="preserve">. If the Issuing Bank shall make any LC Disbursement, then, unless the Borrowers shall reimburse such LC Disbursement in full or a borrowing has been made for such reimbursement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or Canadian Prime Rate Loans, as applicable, and such interest shall be due and payable on the date when such reimbursement is due; </w:t>
      </w:r>
      <w:r>
        <w:rPr>
          <w:rFonts w:ascii="Times New Roman" w:hAnsi="Times New Roman"/>
          <w:sz w:val="20"/>
          <w:u w:val="single"/>
        </w:rPr>
        <w:t>provided</w:t>
      </w:r>
      <w:r>
        <w:rPr>
          <w:rFonts w:ascii="Times New Roman" w:hAnsi="Times New Roman"/>
          <w:sz w:val="20"/>
        </w:rPr>
        <w:t xml:space="preserve"> that, if the Borrowers fail to reimburse such LC Disbursement when due pursuant to paragraph (e) of this Section, then Section 2.13(d)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Replacement and Resignation of an Issuing Bank</w:t>
      </w:r>
      <w:r>
        <w:rPr>
          <w:rFonts w:ascii="Times New Roman" w:hAnsi="Times New Roman"/>
          <w:sz w:val="20"/>
        </w:rPr>
        <w:t xml:space="preserve">. (i) The Issuing Bank may be replaced at any time by written agreement among the Borrower Representative, the Administrative Agent, the replaced Issuing Bank and the successor Issuing Bank. The Administrative Agent shall notify the Revolving Lenders of any such replacement of the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the appointment and acceptance of a successor Issuing Bank, the Issuing Bank may resign as an Issuing Bank at any time upon thirty days’ prior written notice to the Administrative Agent, the Borrower Representative and the Revolving Lenders, in which case, such resigning Issuing Bank shall be replaced in accordance with Section 2.06(i) above.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Cash Collateralization</w:t>
      </w:r>
      <w:r>
        <w:rPr>
          <w:rFonts w:ascii="Times New Roman" w:hAnsi="Times New Roman"/>
          <w:sz w:val="20"/>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 w:hAnsi="Times New Roman"/>
          <w:sz w:val="20"/>
          <w:u w:val="single"/>
        </w:rPr>
        <w:t>LC Collateral Account</w:t>
      </w:r>
      <w:r>
        <w:rPr>
          <w:rFonts w:ascii="Times New Roman" w:hAnsi="Times New Roman"/>
          <w:sz w:val="20"/>
        </w:rPr>
        <w:t xml:space="preserve">”), an amount in the applicable currencies of the applicable Letters of Credit (or, if agreed by the Administrative Agent and the Issuing Bank, in Dollars) in cash equal to 103% of the Dollar Equivalent of the amount of the LC Exposure as of such date plus accrued and unpaid interest thereon;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7.01(h) or (i). The Borrowers also shall deposit cash collateral in accordance with this paragraph as and to the extent required by Section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into the LC Collateral Account an amount in the applicable currencies of the applicable Letters of Credit (or, if agreed by the Administrative Agent and the Issuing Bank, in Dollars) in cash equal to 103% of the Dollar Equivalent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Issuing Bank Reports to the Administrative Agent</w:t>
      </w:r>
      <w:r>
        <w:rPr>
          <w:rFonts w:ascii="Times New Roman" w:hAnsi="Times New Roman"/>
          <w:sz w:val="20"/>
        </w:rPr>
        <w:t xml:space="preserve">. Unless otherwise agreed by the Administrative Agent, each Issuing Bank (other than JPMorgan)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LC Exposure Determination</w:t>
      </w:r>
      <w:r>
        <w:rPr>
          <w:rFonts w:ascii="Times New Roman" w:hAnsi="Times New Roman"/>
          <w:sz w:val="20"/>
        </w:rPr>
        <w:t xml:space="preserve">. For all purposes of this Agreement, unless otherwise specified herein, the amount of a Letter of Credit at any time shall be deemed to be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Revolving Lender shall remain in full force and effect until the Issuing Bank and the Revolving Lenders shall have no further obligations to make any payments or disbursements under any circumstances with respect to any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Letters of Credit Issued for Account of Restricted Subsidiaries</w:t>
      </w:r>
      <w:r>
        <w:rPr>
          <w:rFonts w:ascii="Times New Roman" w:hAnsi="Times New Roman"/>
          <w:sz w:val="20"/>
        </w:rPr>
        <w:t xml:space="preserve">.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the Borrowers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Restricted Subsidiary in respect of such Letter of Credit. Each Borrower hereby acknowledges that the issuance of such Letters of Credit for its Restricted Subsidiaries inures to the benefit of such Borrower, and that such Borrower’s business derives substantial benefits from the businesses of such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Existing Letters of Credit</w:t>
      </w:r>
      <w:r>
        <w:rPr>
          <w:rFonts w:ascii="Times New Roman" w:hAnsi="Times New Roman"/>
          <w:sz w:val="20"/>
        </w:rPr>
        <w:t xml:space="preserve">. By their execution of this Agreement, the parties hereto agree that on the Effective Date (without any further action by any Person), the Existing Letters of Credit shall be deemed to have been issued under this Agreement and the rights and obligations of the applicable Issuing Bank and the account party thereunder shall be subject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Funding of Borrowings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shall make each Loan to be made by such Lender hereunder on the proposed date thereof solely by wire transfer of immediately available funds by noon, Chicago time, to the account of the Administrative Agent most recently designated by it for such purpose by notice to the Lenders in an amount equal to such Lender’s Applicable Percentage; </w:t>
      </w:r>
      <w:r>
        <w:rPr>
          <w:rFonts w:ascii="Times New Roman" w:hAnsi="Times New Roman"/>
          <w:sz w:val="20"/>
          <w:u w:val="single"/>
        </w:rPr>
        <w:t xml:space="preserve">provided </w:t>
      </w:r>
      <w:r>
        <w:rPr>
          <w:rFonts w:ascii="Times New Roman" w:hAnsi="Times New Roman"/>
          <w:sz w:val="20"/>
        </w:rPr>
        <w:t xml:space="preserve">that (i) the Initial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shall be made as provided in Section 2.01(b) and (ii) Swingline Loans shall be made as provided in Section 2.05. The Administrative Agent will make such Loans available to the Borrower Representative by promptly crediting the funds so received in the aforesaid account of the Administrative Agent to the Funding Account(s);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ABR Revolving Loans, Swing Line Loans or Canadian Prime Rate Loans, as applicable, made to finance the reimbursement of an LC Disbursement as provided in Section 2.06(e) shall be remitted by the Administrative Agent to the Issuing Bank. </w:t>
      </w:r>
    </w:p>
    <w:p>
      <w:pPr>
        <w:pStyle w:val="TextBody"/>
        <w:bidi w:val="0"/>
        <w:spacing w:before="12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the Borrowers, the interest rate applicable to ABR Revolving Loans, or in the case of Alternative Currencies, in accordance with such market practice, in each case, as applicable. If such Lender pays such amount to the Administrative Agent, then such amount shall constitute such Lender’s Loan included in such Borrowing; provided, that any interest received from the Borrowers by the Administrative Agent during the period beginning when Administrative Agent funded the Borrowing until such Lender pays such amount shall be solely for the account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Borrowing initially shall be of the Type and Agreed Currency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 </w:t>
      </w:r>
    </w:p>
    <w:p>
      <w:pPr>
        <w:pStyle w:val="TextBody"/>
        <w:bidi w:val="0"/>
        <w:spacing w:before="120" w:after="0"/>
        <w:jc w:val="left"/>
        <w:rPr>
          <w:rFonts w:ascii="Times New Roman" w:hAnsi="Times New Roman"/>
          <w:sz w:val="20"/>
        </w:rPr>
      </w:pPr>
      <w:r>
        <w:rPr>
          <w:rFonts w:ascii="Times New Roman" w:hAnsi="Times New Roman"/>
          <w:sz w:val="20"/>
        </w:rPr>
        <w:t xml:space="preserve">(b) To make an election pursuant to this Section, the Borrower Representative shall notify the Administrative Agent of such election either in writing (delivered by hand or by email as a PDF document) by submitting an Interest Election Request to the Administrative Agent through any Electronic System or the Approved Borrower Portal, in each case to the extent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Interest Election Request shall be irrevocable and shall be signed by a Responsible Officer of the Borrower Representative; provided that, if such Interest Election Request is submitted through the Approved Borrower Portal, the foregoing signature requirement may be waived at the sole discretion of the Administrative Agent. Each such Interest Election Request shall be irrevocable.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contrary provision herein, this Section shall not be construed to permit any Borrower to (i) elect an Interest Period for Term Benchmark Loans that does not comply with Section 2.02(d), (ii) convert any Borrowing to a Borrowing of a Type not available under the Class of Commitments pursuant to which such Borrowing was made, (iii) change the currency of a Borrowing or (iv) elect Adjusted Daily Simple SOFR (it being understood and agreed that Adjusted Daily Simple SOFR shall only apply to the extent provided in Sections 2.14(a) and 2.14(f)) or Adjusted Daily Simple CORRA prior to a Benchmark Transition Event and Benchmark Replacement Date with respect to Term CORRA. </w:t>
      </w:r>
    </w:p>
    <w:p>
      <w:pPr>
        <w:pStyle w:val="TextBody"/>
        <w:bidi w:val="0"/>
        <w:spacing w:before="120" w:after="0"/>
        <w:jc w:val="left"/>
        <w:rPr>
          <w:rFonts w:ascii="Times New Roman" w:hAnsi="Times New Roman"/>
          <w:sz w:val="20"/>
        </w:rPr>
      </w:pPr>
      <w:r>
        <w:rPr>
          <w:rFonts w:ascii="Times New Roman" w:hAnsi="Times New Roman"/>
          <w:sz w:val="20"/>
        </w:rPr>
        <w:t xml:space="preserve">(c) Each Interest Election Request (including requests submitted through any Electronic System)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name of the applicable Borrower and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whether the resulting Borrowing is to be an ABR Borrowing, a Canadian Prime Rate Borrowing or a Term Benchmark Borrowing; and </w:t>
      </w:r>
    </w:p>
    <w:p>
      <w:pPr>
        <w:pStyle w:val="TextBody"/>
        <w:bidi w:val="0"/>
        <w:spacing w:before="120" w:after="0"/>
        <w:jc w:val="left"/>
        <w:rPr>
          <w:rFonts w:ascii="Times New Roman" w:hAnsi="Times New Roman"/>
          <w:sz w:val="20"/>
        </w:rPr>
      </w:pPr>
      <w:r>
        <w:rPr>
          <w:rFonts w:ascii="Times New Roman" w:hAnsi="Times New Roman"/>
          <w:sz w:val="20"/>
        </w:rPr>
        <w:t xml:space="preserve">(iv) if the resulting Borrowing is a Term Benchmark Borrowing, the Interest Period to be applicable thereto after giving effect to such election, which shall be a period contemplated by the definition of the term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If any such Interest Election Request requests a Term Benchmark Borrowing but does not specify an Interest Period, then the Borrowers shall be deemed to have selected an Interest Period of one month’s duration. </w:t>
      </w:r>
    </w:p>
    <w:p>
      <w:pPr>
        <w:pStyle w:val="TextBody"/>
        <w:bidi w:val="0"/>
        <w:spacing w:before="120" w:after="0"/>
        <w:jc w:val="left"/>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applicable Class of the details thereof and of such Lender’s portion of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(e) 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having an Interest Period of one month’s duration.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and (ii) unless repaid, each Term Benchmark Borrowing and RFR Borrowing, in each case, denominated in Dollars shall be converted to an ABR Borrowing at the end of the Interest Period applicable thereto (in the case of a Term Benchmark Borrowing) or immediately (in the case of an RFR Borrowing) and (B) each Term Benchmark Borrowing and RFR Borrowing, in each case, denominated in Canadian Dollars shall be converted to a Canadian Prime Rate Borrowing at the end of the Interest Period applicable thereto (in the case of a Term Benchmark Borrowing) or immediately (in the case of an RFR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Termination and Reduction of Commitments; Increase in Revolving Commitments; Incremental Term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previously terminated, (i) the Initial Term Loan Commitments shall terminate upon the earlier of the funding of the Initial Term Loans (immediately after giving effect to such funding) or at 5:00 p.m., Chicago time, on the Effective Date and (ii) all the Revolving Commitments shall terminate on the Revolving Credit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may at any time terminate the Revolving Commitments upon the Payment in Full of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Borrowers may from time to time reduce the Revolving Commitments; </w:t>
      </w:r>
      <w:r>
        <w:rPr>
          <w:rFonts w:ascii="Times New Roman" w:hAnsi="Times New Roman"/>
          <w:sz w:val="20"/>
          <w:u w:val="single"/>
        </w:rPr>
        <w:t>provided</w:t>
      </w:r>
      <w:r>
        <w:rPr>
          <w:rFonts w:ascii="Times New Roman" w:hAnsi="Times New Roman"/>
          <w:sz w:val="20"/>
        </w:rPr>
        <w:t xml:space="preserve"> that (i) each reduction of such Commitments shall be in an amount that is an integral multiple of </w:t>
      </w:r>
      <w:r>
        <w:rPr>
          <w:rFonts w:ascii="Times New Roman" w:hAnsi="Times New Roman"/>
          <w:b/>
          <w:sz w:val="20"/>
        </w:rPr>
        <w:t>$</w:t>
      </w:r>
      <w:r>
        <w:rPr>
          <w:rFonts w:ascii="Times New Roman" w:hAnsi="Times New Roman"/>
          <w:sz w:val="20"/>
        </w:rPr>
        <w:t xml:space="preserve">1,000,000 and not less than $1,000,000 and (ii) the Borrowers shall not terminate or reduce the Revolving Commitments if, after giving effect to any concurrent prepayment of the Revolving Loans in accordance with Section 2.11, (A) any Lender’s Revolving Exposure would exceed such Lender’s Revolving Commitment or (B) the Dollar Equivalent of the Aggregate Revolving Exposure would exceed the aggregate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Representative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Representative pursuant to this Section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Revolving Commitments shall be permanent. Each reduction of the Revolving Commitments shall be made ratably among the Lenders in accordance with their respective Commitments of the applicable Class. </w:t>
      </w:r>
    </w:p>
    <w:p>
      <w:pPr>
        <w:pStyle w:val="TextBody"/>
        <w:bidi w:val="0"/>
        <w:spacing w:before="120" w:after="0"/>
        <w:jc w:val="left"/>
        <w:rPr>
          <w:rFonts w:ascii="Times New Roman" w:hAnsi="Times New Roman"/>
          <w:sz w:val="20"/>
        </w:rPr>
      </w:pPr>
      <w:r>
        <w:rPr>
          <w:rFonts w:ascii="Times New Roman" w:hAnsi="Times New Roman"/>
          <w:sz w:val="20"/>
        </w:rPr>
        <w:t>(e) The Borrowers shall have the right to increase the Revolving Commitments or enter into one or more tranches of term loans or increase the principal amount of any such tranche of term loans (each an “</w:t>
      </w:r>
      <w:r>
        <w:rPr>
          <w:rFonts w:ascii="Times New Roman" w:hAnsi="Times New Roman"/>
          <w:sz w:val="20"/>
          <w:u w:val="single"/>
        </w:rPr>
        <w:t>Incremental Term Loan</w:t>
      </w:r>
      <w:r>
        <w:rPr>
          <w:rFonts w:ascii="Times New Roman" w:hAnsi="Times New Roman"/>
          <w:sz w:val="20"/>
        </w:rPr>
        <w:t xml:space="preserve">”) by obtaining additional Revolving Commitments or commitments to make such Incremental Term Loans, either from one or more of the Lenders or another lending institution (other than any Ineligible Institution), </w:t>
      </w:r>
      <w:r>
        <w:rPr>
          <w:rFonts w:ascii="Times New Roman" w:hAnsi="Times New Roman"/>
          <w:sz w:val="20"/>
          <w:u w:val="single"/>
        </w:rPr>
        <w:t>provided</w:t>
      </w:r>
      <w:r>
        <w:rPr>
          <w:rFonts w:ascii="Times New Roman" w:hAnsi="Times New Roman"/>
          <w:sz w:val="20"/>
        </w:rPr>
        <w:t xml:space="preserve"> that (i) any such request for an increase or tranche shall be in a minimum amount of $5,000,000, (ii) after giving effect thereto, the sum of the total of the additional Revolving Commitments and Incremental Term Loans incurred after the Effective Date does not exceed </w:t>
      </w:r>
      <w:r>
        <w:rPr>
          <w:rFonts w:ascii="Times New Roman" w:hAnsi="Times New Roman"/>
          <w:color w:val="0000FF"/>
          <w:sz w:val="20"/>
          <w:u w:val="single"/>
          <w:bdr w:val="double" w:sz="2" w:space="1" w:color="000000"/>
        </w:rPr>
        <w:t>(A) (I) the greater of (x) </w:t>
      </w:r>
      <w:r>
        <w:rPr>
          <w:rFonts w:ascii="Times New Roman" w:hAnsi="Times New Roman"/>
          <w:sz w:val="20"/>
        </w:rPr>
        <w:t>$500,000,000</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and (y) 100% of Applicable EBITDA </w:t>
      </w:r>
      <w:r>
        <w:rPr>
          <w:rFonts w:ascii="Times New Roman" w:hAnsi="Times New Roman"/>
          <w:i/>
          <w:color w:val="0000FF"/>
          <w:sz w:val="20"/>
          <w:u w:val="single"/>
          <w:bdr w:val="double" w:sz="2" w:space="1" w:color="000000"/>
        </w:rPr>
        <w:t>minus</w:t>
      </w:r>
      <w:r>
        <w:rPr>
          <w:rFonts w:ascii="Times New Roman" w:hAnsi="Times New Roman"/>
          <w:color w:val="0000FF"/>
          <w:sz w:val="20"/>
          <w:u w:val="single"/>
          <w:bdr w:val="double" w:sz="2" w:space="1" w:color="000000"/>
        </w:rPr>
        <w:t xml:space="preserve"> (II) the amount of additional Revolving Commitments and Incremental Term Loans previously incurred in reliance on clause (A)(I),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(B) voluntary prepayments, redemptions or repurchases of any Term Loans (including purchases of Term Loans by a Borrower or any Subsidiary of the Company (or, after the consummation of the Take-Private Transaction, HoldCo) at or below par),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(C) voluntary prepayments of Revolving Loans (to the extent accompanied by a permanent commitment reduction in respect of Revolving Commitments) </w:t>
      </w:r>
      <w:r>
        <w:rPr>
          <w:rFonts w:ascii="Times New Roman" w:hAnsi="Times New Roman"/>
          <w:i/>
          <w:color w:val="0000FF"/>
          <w:sz w:val="20"/>
          <w:u w:val="single"/>
          <w:bdr w:val="double" w:sz="2" w:space="1" w:color="000000"/>
        </w:rPr>
        <w:t>plus</w:t>
      </w:r>
      <w:r>
        <w:rPr>
          <w:rFonts w:ascii="Times New Roman" w:hAnsi="Times New Roman"/>
          <w:color w:val="0000FF"/>
          <w:sz w:val="20"/>
          <w:u w:val="single"/>
          <w:bdr w:val="double" w:sz="2" w:space="1" w:color="000000"/>
        </w:rPr>
        <w:t xml:space="preserve"> (D) an unlimited amount so long as, after giving pro forma effect thereto (assuming that any such additional Revolving Credit Commitments are drawn in full) and after giving effect to any Permitted Acquisition consummated in connection therewith and all other appropriate pro forma adjustments (but excluding the cash proceeds of any such Incremental Term Loans or additional Revolving Credit Commitments), the First Lien Net Leverage Ratio shall not exceed 3.50 to 1.00; provided, for the avoidance of doubt, that Incremental Term Loans and additional Revolving Commitments or commitments to make Incremental Term Loans may be incurred pursuant to this clause (D) prior to utilization of the amount set forth in clause (A) above; provided further that, with respect to any commitments to make Incremental Term Loans incurred in the form of delayed draw term loan commitments, for the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calculating the amounts set forth in this clause (D) and for calculating any Non-Fixed Basket or other incurrence test hereunder, such commitments shall be deemed fully drawn on the date of such incurrence (provided that such commitments shall not be deemed drawn for purposes of determining compliance with any of the financial covenants set forth in Section 6.12 until such time as such delayed draw term loan commitments are actually funded (and, in such case, only to the extent of such funding)), </w:t>
      </w:r>
      <w:r>
        <w:rPr>
          <w:rFonts w:ascii="Times New Roman" w:hAnsi="Times New Roman"/>
          <w:sz w:val="20"/>
        </w:rPr>
        <w:t xml:space="preserve">(iii) the Administrative Agent and, only in the case of any increase in the Revolving Commitments, the Swingline Lender and the Issuing Bank, have approved the identity of any such new Lender, such approvals not to be unreasonably withheld, (iv) any such new Lender assumes all of the rights and obligations of a “Lender” hereunder, (v) the procedure described in Section 2.09(f) have been satisfied and (vi) any Affiliate Lender providing any portion of an Incremental Term Loan shall be required to first comply with Section 9.04(f). Nothing contained in this Section 2.09 shall constitute, or otherwise be deemed to be, a commitment on the part of any Lender to increase its Revolving Commitment or participate in any tranche of Incremental Term Loans hereunder at any time. </w:t>
      </w:r>
    </w:p>
    <w:p>
      <w:pPr>
        <w:pStyle w:val="TextBody"/>
        <w:bidi w:val="0"/>
        <w:spacing w:before="120" w:after="0"/>
        <w:jc w:val="left"/>
        <w:rPr>
          <w:rFonts w:ascii="Times New Roman" w:hAnsi="Times New Roman"/>
          <w:sz w:val="20"/>
        </w:rPr>
      </w:pPr>
      <w:r>
        <w:rPr>
          <w:rFonts w:ascii="Times New Roman" w:hAnsi="Times New Roman"/>
          <w:sz w:val="20"/>
        </w:rPr>
        <w:t>(f) As a condition precedent to such an increase of the Revolving Commitments or tranche of Incremental Term Loans, the Borrowers shall deliver to the Administrative Agent (i) a certificate of each Loan Party signed by an authorized officer of such Loan Party (</w:t>
      </w:r>
      <w:r>
        <w:rPr>
          <w:rFonts w:ascii="Times New Roman" w:hAnsi="Times New Roman"/>
          <w:sz w:val="20"/>
          <w:u w:val="single"/>
        </w:rPr>
        <w:t>provided</w:t>
      </w:r>
      <w:r>
        <w:rPr>
          <w:rFonts w:ascii="Times New Roman" w:hAnsi="Times New Roman"/>
          <w:sz w:val="20"/>
        </w:rPr>
        <w:t xml:space="preserve">, that in the event any Incremental Term Loans are intended to be applied to finance a Limited Condition Acquisition, such certificate may be delivered on the </w:t>
      </w:r>
      <w:r>
        <w:rPr>
          <w:rFonts w:ascii="Times New Roman" w:hAnsi="Times New Roman"/>
          <w:strike/>
          <w:color w:val="FF0000"/>
          <w:sz w:val="20"/>
        </w:rPr>
        <w:t>LCT</w:t>
      </w:r>
      <w:r>
        <w:rPr>
          <w:rFonts w:ascii="Times New Roman" w:hAnsi="Times New Roman"/>
          <w:color w:val="0000FF"/>
          <w:sz w:val="20"/>
          <w:u w:val="single"/>
          <w:bdr w:val="double" w:sz="2" w:space="1" w:color="000000"/>
        </w:rPr>
        <w:t>LCA</w:t>
      </w:r>
      <w:r>
        <w:rPr>
          <w:rFonts w:ascii="Times New Roman" w:hAnsi="Times New Roman"/>
          <w:sz w:val="20"/>
        </w:rPr>
        <w:t xml:space="preserve"> Test Date concurrently with the effectiveness if the Limited Condition Acquisition Agreement and include the Company’s election that such Acquisition is intended to be a Limited Condition Acquisition) (A) certifying and attaching the resolutions adopted by such Loan Party approving or consenting to such increase or tranche, and (B) in the case of the Borrowers, certifying that, before and after giving effect to such increase or tranche, (1) the representations and warranties contained in Article III and the other Loan Documents are true and correct in all material respects (or in all respects in the case of any representation or warranty qualified by materiality or Material Adverse Effect), except to the extent that such representations and warranties specifically refer to an earlier date, in which case they are true and correct in all material respects (or in all respects in the case of any representation or warranty qualified by materiality or Material Adverse Effect) as of such earlier date; </w:t>
      </w:r>
      <w:r>
        <w:rPr>
          <w:rFonts w:ascii="Times New Roman" w:hAnsi="Times New Roman"/>
          <w:sz w:val="20"/>
          <w:u w:val="single"/>
        </w:rPr>
        <w:t>provided</w:t>
      </w:r>
      <w:r>
        <w:rPr>
          <w:rFonts w:ascii="Times New Roman" w:hAnsi="Times New Roman"/>
          <w:sz w:val="20"/>
        </w:rPr>
        <w:t xml:space="preserve">, solely with respect to an Incremental Term Loan the proceeds of which are intended to and shall be used to finance substantially contemporaneously a Limited Condition Acquisition, the Persons providing such Incremental Term Loan may agree that the condition set forth in this clause (1) shall instead be that (x) such representations and warranties shall be true and correct as set forth above on the LCA Test Date and (y) the Specified Representations and Specified LCA Representations shall be true and correct at the time of the funding of such Incremental Term Loan, and (2) no Default or Event of Default exists; </w:t>
      </w:r>
      <w:r>
        <w:rPr>
          <w:rFonts w:ascii="Times New Roman" w:hAnsi="Times New Roman"/>
          <w:sz w:val="20"/>
          <w:u w:val="single"/>
        </w:rPr>
        <w:t>provided</w:t>
      </w:r>
      <w:r>
        <w:rPr>
          <w:rFonts w:ascii="Times New Roman" w:hAnsi="Times New Roman"/>
          <w:sz w:val="20"/>
        </w:rPr>
        <w:t xml:space="preserve">, solely with respect to an Incremental Term Loan the proceeds of which are intended to and shall be used to finance substantially contemporaneously a Limited Condition Acquisition, the Persons providing such Incremental Term Loan may agree to a “funds certain provision” that does not impose as a condition to funding thereof that no Default or Event of Default exists at the time such Limited Condition Acquisition is consummated, in which event, the condition set forth in this clause (2) shall instead be that (x) no Default or Event of Default shall exist on the LCA Test Date and (y) no Event of Default under Section 7.01(a), (b), (h) or (i) shall exist at the time of the funding of such Incremental Term Loan and (3)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is in compliance (on a pro forma basis, giving effect to the entire amount of such increase or tranche as if such increase is fully drawn or such tranche is fully funded, as the case may be) with the covenants contained in Section 6.12 (including any applicable Total Net Leverage Ratio Adjustment) and (ii) legal opinions and documents consistent with those delivered on the Effective Date, to the extent requested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(g) On the effective date of any such increase of the Revolving Commitments, (i) any Lender increasing (or, in the case of any newly added Lender, extending) its Revolving Commitment shall make available to the Administrative Agent such amounts in immediately available funds as the Administrative Agent shall determine, for the benefit of the other Revolving Lenders, as being required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to cause, after giving effect to such increase (or addition) and the use of such amounts to make payments to such other Lenders, each Revolving Lender’s portion of the outstanding Revolving Loans of all the Revolving Lenders to equal its revised Applicable Percentage of such outstanding Revolving Loans, and the Administrative Agent shall make such other adjustments among the Revolving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such increase in the Revolving Commitments (with such reborrowing to consist of the Types of Revolving Loans, with related Interest Periods if applicable, specified by the Borrower Representative to the Administrative Agent, which may be in the form of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The Lenders providing the applicable tranche of Incremental Term Loans shall make available to the Administrative Agent such amounts in immediately available funds at such time as agreed among the Borrowers, the Lenders providing such tranche and the Administrative Agent. The Incremental Term Loans (x) shall rank </w:t>
      </w:r>
      <w:r>
        <w:rPr>
          <w:rFonts w:ascii="Times New Roman" w:hAnsi="Times New Roman"/>
          <w:i/>
          <w:sz w:val="20"/>
        </w:rPr>
        <w:t>pari passu</w:t>
      </w:r>
      <w:r>
        <w:rPr>
          <w:rFonts w:ascii="Times New Roman" w:hAnsi="Times New Roman"/>
          <w:sz w:val="20"/>
        </w:rPr>
        <w:t xml:space="preserve"> in right of payment and Liens with the Revolving Loans and the Initial Term Loans, (y) </w:t>
      </w:r>
      <w:r>
        <w:rPr>
          <w:rFonts w:ascii="Times New Roman" w:hAnsi="Times New Roman"/>
          <w:color w:val="0000FF"/>
          <w:sz w:val="20"/>
          <w:u w:val="single"/>
          <w:bdr w:val="double" w:sz="2" w:space="1" w:color="000000"/>
        </w:rPr>
        <w:t xml:space="preserve">other than Indebtedness incurred pursuant to the Inside Maturity Basket, </w:t>
      </w:r>
      <w:r>
        <w:rPr>
          <w:rFonts w:ascii="Times New Roman" w:hAnsi="Times New Roman"/>
          <w:sz w:val="20"/>
        </w:rPr>
        <w:t xml:space="preserve">shall not mature earlier than the latest Maturity Date in effect at such time (but may have amortization prior to such date so long as the weighted average life to maturity of any Incremental Term Loans shall be no shorter than the remaining weighted average life to maturity of the Initial Term Loans outstanding at such time) and (z) shall be treated substantially the same as (and in any event no more favorably than) the Revolving Loans and the Initial Term Loans; </w:t>
      </w:r>
      <w:r>
        <w:rPr>
          <w:rFonts w:ascii="Times New Roman" w:hAnsi="Times New Roman"/>
          <w:sz w:val="20"/>
          <w:u w:val="single"/>
        </w:rPr>
        <w:t>provided</w:t>
      </w:r>
      <w:r>
        <w:rPr>
          <w:rFonts w:ascii="Times New Roman" w:hAnsi="Times New Roman"/>
          <w:sz w:val="20"/>
        </w:rPr>
        <w:t xml:space="preserve"> that (A) the terms and conditions applicable to any tranche of Incremental Term Loans maturing after the latest Maturity Date in effect at such time may provide for material additional or different financial or other covenants or prepayment requirements applicable only during periods after such latest Maturity Date </w:t>
      </w:r>
      <w:r>
        <w:rPr>
          <w:rFonts w:ascii="Times New Roman" w:hAnsi="Times New Roman"/>
          <w:color w:val="0000FF"/>
          <w:sz w:val="20"/>
          <w:u w:val="single"/>
          <w:bdr w:val="double" w:sz="2" w:space="1" w:color="000000"/>
        </w:rPr>
        <w:t xml:space="preserve">(other than with respect to the inclusion of a Previously Absent Financial Maintenance Covenant (so long as (x) to the extent that any such terms of any Incremental Term Loans contain a Previously Absent Financial Maintenance Covenant that is in effect prior to the applicable latest Maturity Date of each existing Class of Term Loans, such Previously Absent Financial Maintenance Covenant shall be included for the benefit of each existing </w:t>
      </w:r>
      <w:r>
        <w:rPr>
          <w:rFonts w:ascii="Times New Roman" w:hAnsi="Times New Roman"/>
          <w:color w:val="008000"/>
          <w:sz w:val="20"/>
          <w:u w:val="single"/>
          <w:bdr w:val="double" w:sz="2" w:space="1" w:color="000000"/>
        </w:rPr>
        <w:t xml:space="preserve">Class of Term Loans and </w:t>
      </w:r>
      <w:r>
        <w:rPr>
          <w:rFonts w:ascii="Times New Roman" w:hAnsi="Times New Roman"/>
          <w:color w:val="0000FF"/>
          <w:sz w:val="20"/>
          <w:u w:val="single"/>
          <w:bdr w:val="double" w:sz="2" w:space="1" w:color="000000"/>
        </w:rPr>
        <w:t xml:space="preserve">(y) to the extent that any such terms of any additional Revolving Commitments contain a Previously Absent Financial Maintenance Covenant that is in effect prior to the applicable latest Maturity Date of the Revolving Commitments immediately prior to the effectiveness of the additional Revolving Commitments, such Previously Absent Financial Maintenance Covenant shall be included for the benefit of each existing Class of Revolving Commitments)) </w:t>
      </w:r>
      <w:r>
        <w:rPr>
          <w:rFonts w:ascii="Times New Roman" w:hAnsi="Times New Roman"/>
          <w:sz w:val="20"/>
        </w:rPr>
        <w:t xml:space="preserve">and (B) the Incremental Term Loans may be priced differently than the Revolving Loans and the Initial Term Loans; </w:t>
      </w:r>
      <w:r>
        <w:rPr>
          <w:rFonts w:ascii="Times New Roman" w:hAnsi="Times New Roman"/>
          <w:sz w:val="20"/>
          <w:u w:val="single"/>
        </w:rPr>
        <w:t>provided</w:t>
      </w:r>
      <w:r>
        <w:rPr>
          <w:rFonts w:ascii="Times New Roman" w:hAnsi="Times New Roman"/>
          <w:sz w:val="20"/>
        </w:rPr>
        <w:t xml:space="preserve"> that in the event that the All-In Yield applicable to any Incremental Term Loans </w:t>
      </w:r>
      <w:r>
        <w:rPr>
          <w:rFonts w:ascii="Times New Roman" w:hAnsi="Times New Roman"/>
          <w:color w:val="0000FF"/>
          <w:sz w:val="20"/>
          <w:u w:val="single"/>
          <w:bdr w:val="double" w:sz="2" w:space="1" w:color="000000"/>
        </w:rPr>
        <w:t xml:space="preserve">incurred on or before the first anniversary of the First Amendment Date </w:t>
      </w:r>
      <w:r>
        <w:rPr>
          <w:rFonts w:ascii="Times New Roman" w:hAnsi="Times New Roman"/>
          <w:sz w:val="20"/>
        </w:rPr>
        <w:t>exceeds the All-In Yield of the Initial Term Loans or any other then existing Incremental Term Loans by more than 50 basis points, then the Applicable Rates for the Revolving Loans, Initial Term Loans or such other Incremental Term Loans, as applicable, shall be increased to the extent necessary so that the All-In Yield for the Revolving Loans, Initial Term Loans or such other existing Incremental Term Loans, as applicable, is equal to the All-In Yield for such Incremental Term Facility minus 50 basis points (</w:t>
      </w:r>
      <w:r>
        <w:rPr>
          <w:rFonts w:ascii="Times New Roman" w:hAnsi="Times New Roman"/>
          <w:color w:val="0000FF"/>
          <w:sz w:val="20"/>
          <w:u w:val="single"/>
          <w:bdr w:val="double" w:sz="2" w:space="1" w:color="000000"/>
        </w:rPr>
        <w:t xml:space="preserve">this proviso, </w:t>
      </w:r>
      <w:r>
        <w:rPr>
          <w:rFonts w:ascii="Times New Roman" w:hAnsi="Times New Roman"/>
          <w:sz w:val="20"/>
        </w:rPr>
        <w:t>the “</w:t>
      </w:r>
      <w:r>
        <w:rPr>
          <w:rFonts w:ascii="Times New Roman" w:hAnsi="Times New Roman"/>
          <w:sz w:val="20"/>
          <w:u w:val="single"/>
        </w:rPr>
        <w:t>MFN Provision</w:t>
      </w:r>
      <w:r>
        <w:rPr>
          <w:rFonts w:ascii="Times New Roman" w:hAnsi="Times New Roman"/>
          <w:sz w:val="20"/>
        </w:rPr>
        <w:t xml:space="preserve">”). Notwithstanding the foregoing, the terms of any incremental Revolving Commitments (and the Revolving Loans made pursuant thereto) or of any Incremental Term Loans that are increasing an existing Class of Term Loans shall be identical to those applicable to the existing Revolving Commitments (and Revolving Loans) or Term Loans, as applicable, and all such incremental and existing Revolving Commitments (and Revolving Loans) or Term Loans, as applicable, shall constitute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Subject to the foregoing conditions, any Incremental Term Loans or increase in the Revolving Commitments may be made hereunder pursuant to an amendment or restatement (an “</w:t>
      </w:r>
      <w:r>
        <w:rPr>
          <w:rFonts w:ascii="Times New Roman" w:hAnsi="Times New Roman"/>
          <w:sz w:val="20"/>
          <w:u w:val="single"/>
        </w:rPr>
        <w:t>Incremental Facility Amendment</w:t>
      </w:r>
      <w:r>
        <w:rPr>
          <w:rFonts w:ascii="Times New Roman" w:hAnsi="Times New Roman"/>
          <w:sz w:val="20"/>
        </w:rPr>
        <w:t xml:space="preserve">”) of this Agreement and, as appropriate, the other Loan Documents, executed by the Borrowers, each Lender participating in such tranche or increase and the Administrative Agent. The Incremental Facility Amendment may, without the consent of any other Lenders, effect such amendments to this Agreement and the other Loan Documents as may be necessary or appropriate, in the reasonable opinion of the Administrative Agent, to effect the provisions of this Section 2.09 and reflect the applicable Incremental Term Loans and increase in the Revolving Commitments. Within a reasonable time after the effective date of any increase or addition, the Administrative Agent shall, and is hereby authorized and directed to, revise the </w:t>
      </w:r>
      <w:r>
        <w:rPr>
          <w:rFonts w:ascii="Times New Roman" w:hAnsi="Times New Roman"/>
          <w:sz w:val="20"/>
          <w:u w:val="single"/>
        </w:rPr>
        <w:t>Commitment Schedule</w:t>
      </w:r>
      <w:r>
        <w:rPr>
          <w:rFonts w:ascii="Times New Roman" w:hAnsi="Times New Roman"/>
          <w:sz w:val="20"/>
        </w:rPr>
        <w:t xml:space="preserve"> to reflect such increase or addition and shall distribute such revised </w:t>
      </w:r>
      <w:r>
        <w:rPr>
          <w:rFonts w:ascii="Times New Roman" w:hAnsi="Times New Roman"/>
          <w:sz w:val="20"/>
          <w:u w:val="single"/>
        </w:rPr>
        <w:t>Commitment Schedule</w:t>
      </w:r>
      <w:r>
        <w:rPr>
          <w:rFonts w:ascii="Times New Roman" w:hAnsi="Times New Roman"/>
          <w:sz w:val="20"/>
        </w:rPr>
        <w:t xml:space="preserve"> to each of the Lenders and the Borrowers, whereupon such revised </w:t>
      </w:r>
      <w:r>
        <w:rPr>
          <w:rFonts w:ascii="Times New Roman" w:hAnsi="Times New Roman"/>
          <w:sz w:val="20"/>
          <w:u w:val="single"/>
        </w:rPr>
        <w:t>Commitment Schedule</w:t>
      </w:r>
      <w:r>
        <w:rPr>
          <w:rFonts w:ascii="Times New Roman" w:hAnsi="Times New Roman"/>
          <w:sz w:val="20"/>
        </w:rPr>
        <w:t xml:space="preserve"> shall replace the old </w:t>
      </w:r>
      <w:r>
        <w:rPr>
          <w:rFonts w:ascii="Times New Roman" w:hAnsi="Times New Roman"/>
          <w:sz w:val="20"/>
          <w:u w:val="single"/>
        </w:rPr>
        <w:t>Commitment Schedule</w:t>
      </w:r>
      <w:r>
        <w:rPr>
          <w:rFonts w:ascii="Times New Roman" w:hAnsi="Times New Roman"/>
          <w:sz w:val="20"/>
        </w:rPr>
        <w:t xml:space="preserve"> and become 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In connection with any increase of the Revolving Commitments or Incremental Term Loans pursuant to this Section 2.09, any new lending institution becoming a party hereto shall (i) execute such documents and agreements as the Administrative Agent may reasonably request and (ii) provide to the Administrative Agent, its name, address, tax identification number and/or such other information as shall be necessary for the Administrative Agent to comply with “know your customer” and anti-money laundering rules and regulations, including without limitation,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Repayment and Amortization of Loans; Evidence of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hereby unconditionally promise to pay (i) to the Administrative Agent for the account of each Revolving Lender the then unpaid principal amount of each Revolving Loan in the currency thereof on the Revolving Credit Maturity Date, and (ii) to the Swingline Lender the then unpaid principal amount of each Swingline Loan in dollars on the earlier of the Revolving Credit Maturity Date and the fifth Business Day after such Swingline Loan is made; </w:t>
      </w:r>
      <w:r>
        <w:rPr>
          <w:rFonts w:ascii="Times New Roman" w:hAnsi="Times New Roman"/>
          <w:sz w:val="20"/>
          <w:u w:val="single"/>
        </w:rPr>
        <w:t>provided</w:t>
      </w:r>
      <w:r>
        <w:rPr>
          <w:rFonts w:ascii="Times New Roman" w:hAnsi="Times New Roman"/>
          <w:sz w:val="20"/>
        </w:rPr>
        <w:t xml:space="preserve"> that on each date that a Revolving Loan is made, the Borrowers shall repay all Swingline Loans then outstanding and the proceeds of any such Revolving Loan shall be applied by the Administrative Agent to repay any Swingline Loans outstanding. </w:t>
      </w:r>
    </w:p>
    <w:p>
      <w:pPr>
        <w:pStyle w:val="TextBody"/>
        <w:bidi w:val="0"/>
        <w:spacing w:before="120" w:after="0"/>
        <w:jc w:val="left"/>
        <w:rPr>
          <w:rFonts w:ascii="Times New Roman" w:hAnsi="Times New Roman"/>
          <w:sz w:val="20"/>
        </w:rPr>
      </w:pPr>
      <w:r>
        <w:rPr>
          <w:rFonts w:ascii="Times New Roman" w:hAnsi="Times New Roman"/>
          <w:sz w:val="20"/>
        </w:rPr>
        <w:t xml:space="preserve">(b) On the last day of each March, June, September and December (commencing with March 31, 2026), the Borrowers hereby unconditionally promise to pay in dollars to the Administrative Agent, for the account of each Initial Term Lender, an aggregate principal amount equal to $8,750,000 on each such date (as adjusted from time to time pursuant to Section 2.11(e) or 2.18(b)); </w:t>
      </w:r>
      <w:r>
        <w:rPr>
          <w:rFonts w:ascii="Times New Roman" w:hAnsi="Times New Roman"/>
          <w:sz w:val="20"/>
          <w:u w:val="single"/>
        </w:rPr>
        <w:t>provided</w:t>
      </w:r>
      <w:r>
        <w:rPr>
          <w:rFonts w:ascii="Times New Roman" w:hAnsi="Times New Roman"/>
          <w:sz w:val="20"/>
        </w:rPr>
        <w:t xml:space="preserve"> that, if any such date is not a Business Day, then payment shall be due and payable on the Business Day immediately succeeding such date. To the extent not previously paid, all unpaid Initial Term Loans shall be paid in full in cash in dollars by the Borrowers on the Initial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maintain accounts in which it shall record (i) the amount of each Loan made hereunder, the Class, Agreed Currency and Type thereof and the Interest Period applicable thereto, if any, (ii) the amount of any principal or interest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Prior to any repayment of any Term Loan Borrowings under this Section, the Borrowers shall select the Borrowing or Borrowings of the Term Loans to be repaid and shall notify the Administrative Agent by fax or through any Electronic System of such selection not later than noon, Chicago time, three (3) Business Days before the scheduled date of such repayment. Each repayment of a Term Loan Borrowing shall be applied ratably to the Loans included in the repaid Term Loan Borrowing. </w:t>
      </w:r>
    </w:p>
    <w:p>
      <w:pPr>
        <w:pStyle w:val="TextBody"/>
        <w:bidi w:val="0"/>
        <w:spacing w:before="120" w:after="0"/>
        <w:jc w:val="left"/>
        <w:rPr>
          <w:rFonts w:ascii="Times New Roman" w:hAnsi="Times New Roman"/>
          <w:sz w:val="20"/>
        </w:rPr>
      </w:pPr>
      <w:r>
        <w:rPr>
          <w:rFonts w:ascii="Times New Roman" w:hAnsi="Times New Roman"/>
          <w:sz w:val="20"/>
        </w:rPr>
        <w:t xml:space="preserve">(f) The entries made in the accounts maintained pursuant to paragraph (c) or (d) of this Section shall be </w:t>
      </w:r>
      <w:r>
        <w:rPr>
          <w:rFonts w:ascii="Times New Roman" w:hAnsi="Times New Roman"/>
          <w:sz w:val="20"/>
          <w:u w:val="single"/>
        </w:rPr>
        <w:t>prima facie</w:t>
      </w:r>
      <w:r>
        <w:rPr>
          <w:rFonts w:ascii="Times New Roman" w:hAnsi="Times New Roman"/>
          <w:sz w:val="20"/>
        </w:rPr>
        <w:t xml:space="preserv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Borrowers to repay the Loans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Prepayment of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have the right at any time and from time to time to prepay any Borrowing in whole or in part, without premium or penalty, subject to prior notice in accordance with paragraph (d) of this Section and, if applicable, payment of any break funding expenses under Section 2.16.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and on such occasion that the Dollar Equivalent of the Aggregate Revolving Exposure exceeds the aggregate Revolving Commitments, the Borrowers shall prepay the Revolving Loans, LC Exposure and/or Swingline Loans (or, if no such Borrowings are outstanding, deposit cash collateral in the LC Collateral Account in an aggregate amount equal to such excess, in accordance with Section 2.06(j)) in an aggregate principal amount sufficient to cause the Dollar Equivalent of the aggregate principal amount of all Revolving Exposures to be less than or equal to the aggregate Revolving Commitments; </w:t>
      </w:r>
      <w:r>
        <w:rPr>
          <w:rFonts w:ascii="Times New Roman" w:hAnsi="Times New Roman"/>
          <w:sz w:val="20"/>
          <w:u w:val="single"/>
        </w:rPr>
        <w:t>provided</w:t>
      </w:r>
      <w:r>
        <w:rPr>
          <w:rFonts w:ascii="Times New Roman" w:hAnsi="Times New Roman"/>
          <w:sz w:val="20"/>
        </w:rPr>
        <w:t xml:space="preserve"> that if the Dollar Equivalent of the Aggregate Revolving Exposure exceeds the aggregate Revolving Commitments solely due to currency fluctuations, no prepayment shall be required until the Aggregate Revolving Exposure exceeds 102% of the aggregate Revolving Commitments; </w:t>
      </w:r>
      <w:r>
        <w:rPr>
          <w:rFonts w:ascii="Times New Roman" w:hAnsi="Times New Roman"/>
          <w:sz w:val="20"/>
          <w:u w:val="single"/>
        </w:rPr>
        <w:t>provided</w:t>
      </w:r>
      <w:r>
        <w:rPr>
          <w:rFonts w:ascii="Times New Roman" w:hAnsi="Times New Roman"/>
          <w:sz w:val="20"/>
        </w:rPr>
        <w:t xml:space="preserve"> that the Aggregate Revolving Exposure shall not exceed the aggregate Revolving Commitments for more than two (2) consecutive Business Days. </w:t>
      </w:r>
    </w:p>
    <w:p>
      <w:pPr>
        <w:pStyle w:val="TextBody"/>
        <w:bidi w:val="0"/>
        <w:spacing w:before="120" w:after="0"/>
        <w:jc w:val="left"/>
        <w:rPr>
          <w:rFonts w:ascii="Times New Roman" w:hAnsi="Times New Roman"/>
          <w:sz w:val="20"/>
        </w:rPr>
      </w:pPr>
      <w:r>
        <w:rPr>
          <w:rFonts w:ascii="Times New Roman" w:hAnsi="Times New Roman"/>
          <w:sz w:val="20"/>
        </w:rPr>
        <w:t>(c)</w:t>
      </w:r>
      <w:r>
        <w:rPr>
          <w:rFonts w:ascii="Times New Roman" w:hAnsi="Times New Roman"/>
          <w:color w:val="0000FF"/>
          <w:sz w:val="20"/>
          <w:u w:val="single"/>
          <w:bdr w:val="double" w:sz="2" w:space="1" w:color="000000"/>
        </w:rPr>
        <w:t xml:space="preserve"> (i) </w:t>
      </w:r>
      <w:r>
        <w:rPr>
          <w:rFonts w:ascii="Times New Roman" w:hAnsi="Times New Roman"/>
          <w:sz w:val="20"/>
        </w:rPr>
        <w:t>In the event and on each occasion that any Net Proceeds are received by or on behalf of any Loan Party or any Restricted Subsidiary in respect of any Prepayment Event</w:t>
      </w:r>
      <w:r>
        <w:rPr>
          <w:rFonts w:ascii="Times New Roman" w:hAnsi="Times New Roman"/>
          <w:color w:val="0000FF"/>
          <w:sz w:val="20"/>
          <w:u w:val="single"/>
          <w:bdr w:val="double" w:sz="2" w:space="1" w:color="000000"/>
        </w:rPr>
        <w:t xml:space="preserve"> of the type described in clause (a) or (b) of the term “Prepayment Event”</w:t>
      </w:r>
      <w:r>
        <w:rPr>
          <w:rFonts w:ascii="Times New Roman" w:hAnsi="Times New Roman"/>
          <w:sz w:val="20"/>
        </w:rPr>
        <w:t xml:space="preserve">, the Borrowers shall, within three (3) Business Days (in the case of any event described in clause (a) of the definition of the term “Prepayment Event”) or one (1) Business Day (in the case of any event described in clause (b) of the definition of the term “Prepayment Event”) after such Net Proceeds are received by any Loan Party or Restricted Subsidiary, prepay the Term Loans as set forth in Section 2.11(e) below in an aggregate amount equal to 100% of such Net Proceeds; </w:t>
      </w:r>
      <w:r>
        <w:rPr>
          <w:rFonts w:ascii="Times New Roman" w:hAnsi="Times New Roman"/>
          <w:sz w:val="20"/>
          <w:u w:val="single"/>
        </w:rPr>
        <w:t>provided</w:t>
      </w:r>
      <w:r>
        <w:rPr>
          <w:rFonts w:ascii="Times New Roman" w:hAnsi="Times New Roman"/>
          <w:sz w:val="20"/>
        </w:rPr>
        <w:t xml:space="preserve"> that, notwithstanding the foregoing, in the case of any event described in clause (a) of the definition of the term “Prepayment Event” and the Net Proceeds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 xml:space="preserve">(i) </w:t>
      </w:r>
      <w:r>
        <w:rPr>
          <w:rFonts w:ascii="Times New Roman" w:hAnsi="Times New Roman"/>
          <w:color w:val="0000FF"/>
          <w:sz w:val="20"/>
          <w:u w:val="single"/>
          <w:bdr w:val="double" w:sz="2" w:space="1" w:color="000000"/>
        </w:rPr>
        <w:t>(x)</w:t>
      </w:r>
      <w:r>
        <w:rPr>
          <w:rFonts w:ascii="Times New Roman" w:hAnsi="Times New Roman"/>
          <w:sz w:val="20"/>
        </w:rPr>
        <w:t xml:space="preserve"> the Borrowers shall not be obligated to make any such prepayment required by this Section 2.11(c) pursuant to clause (a) of the definition of the term Prepayment Event during any fiscal year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unless and until the aggregate amount of Net Proceeds from all such Prepayment Events described in clause (a) of the definition of the term Prepayment Event during such fiscal year exceeds $20,000,000 (with respect to any fiscal year of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the “</w:t>
      </w:r>
      <w:r>
        <w:rPr>
          <w:rFonts w:ascii="Times New Roman" w:hAnsi="Times New Roman"/>
          <w:sz w:val="20"/>
          <w:u w:val="single"/>
        </w:rPr>
        <w:t>Asset Sale Prepayment Trigger</w:t>
      </w:r>
      <w:r>
        <w:rPr>
          <w:rFonts w:ascii="Times New Roman" w:hAnsi="Times New Roman"/>
          <w:sz w:val="20"/>
        </w:rPr>
        <w:t xml:space="preserve">”), at which time all such Net Proceeds from any Prepayment Event described in clause (a) of the definition of the term Prepayment Event for such fiscal year (excluding amounts below the Asset Sale Prepayment Trigger for such fiscal year) shall be applied in accordance with Section 2.11(e); and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(ii) </w:t>
      </w:r>
      <w:r>
        <w:rPr>
          <w:rFonts w:ascii="Times New Roman" w:hAnsi="Times New Roman"/>
          <w:color w:val="0000FF"/>
          <w:sz w:val="20"/>
          <w:u w:val="single"/>
          <w:bdr w:val="double" w:sz="2" w:space="1" w:color="000000"/>
        </w:rPr>
        <w:t>(y) </w:t>
      </w:r>
      <w:r>
        <w:rPr>
          <w:rFonts w:ascii="Times New Roman" w:hAnsi="Times New Roman"/>
          <w:sz w:val="20"/>
        </w:rPr>
        <w:t xml:space="preserve">at the option of the Company by written notice to the Administrative Agent, the Borrowers and their Restricted Subsidiaries may reinvest all or any portion of </w:t>
      </w:r>
      <w:r>
        <w:rPr>
          <w:rFonts w:ascii="Times New Roman" w:hAnsi="Times New Roman"/>
          <w:strike/>
          <w:color w:val="FF0000"/>
          <w:sz w:val="20"/>
        </w:rPr>
        <w:t xml:space="preserve">such </w:t>
      </w:r>
      <w:r>
        <w:rPr>
          <w:rFonts w:ascii="Times New Roman" w:hAnsi="Times New Roman"/>
          <w:sz w:val="20"/>
        </w:rPr>
        <w:t xml:space="preserve">Net Proceeds </w:t>
      </w:r>
      <w:r>
        <w:rPr>
          <w:rFonts w:ascii="Times New Roman" w:hAnsi="Times New Roman"/>
          <w:color w:val="0000FF"/>
          <w:sz w:val="20"/>
          <w:u w:val="single"/>
          <w:bdr w:val="double" w:sz="2" w:space="1" w:color="000000"/>
        </w:rPr>
        <w:t xml:space="preserve">resulting from any event described in clause (a) or clause (b) of the term Prepayment Event </w:t>
      </w:r>
      <w:r>
        <w:rPr>
          <w:rFonts w:ascii="Times New Roman" w:hAnsi="Times New Roman"/>
          <w:sz w:val="20"/>
        </w:rPr>
        <w:t>in assets useful for its or any Restricted Subsidiary’s business (x) within twelve (12) months following receipt of such Net Proceeds or (y) if any Borrower or a Restricted Subsidiary enters into a legally binding commitment to reinvest such Net Proceeds within twelve (12) months following receipt thereof, within one hundred and eighty (180) days after such initial twelve (12) month-period (the foregoing period being referred to as a “</w:t>
      </w:r>
      <w:r>
        <w:rPr>
          <w:rFonts w:ascii="Times New Roman" w:hAnsi="Times New Roman"/>
          <w:sz w:val="20"/>
          <w:u w:val="single"/>
        </w:rPr>
        <w:t>Reinvestment Period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any Net Proceeds are no longer intended to be or cannot be so reinvested at any time after delivery of a notice of reinvestment election, an amount equal to any such Net Proceeds shall be applied to the prepayment of the Term Loans as set forth herein within five (5) Business Days after the earlier of (I) the end of the applicable Reinvestment Period and (II) such time that the Company reasonably determines that such Net Proceeds are no longer intended to be or cannot be so reinvested.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In the event that all or any portion of the purchase price consideration for the Take-Private Transaction is funded with proceeds of the Sponsor Equity Injection and/or High Yield Notes (but not with any Loans), the Borrowers shall, on the date of the consummation of the Take-Private Transaction, prepay the Term Loans as set forth in Section 2.11(e) below in an aggregate amount equal to 100% of the amount by which the Net Proceeds of the Sponsor Equity Injection and High Yield Notes exceeds the purchase price of the Take-Private Transaction under the Take-Private Transaction Merger Agreement; provided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(x) if the Borrowers have made a prepayment of Term Loans pursuant to this clause (ii) in an amount of at least $195,000,000 and the Sponsor Equity Injection is in excess of $125,000,000 and/or High Yield Notes have been issued in an aggregate principal amount in excess of $450,000,000, at the option of the Company by written notice to the Administrative Agent, the Company may reduce the amount of the prepayment required pursuant to this clause (ii) by a specified amount of any such excess Net Proceeds that are being reserved to consummate Permitted Acquisitions that the Company reasonably anticipates will occur within three (3) months following the date of the Sponsor Equity Injection or High Yield Note issuance, as applicable; provided, that if any such reserved Net Proceeds are no longer intended to be or cannot be so applied, or have not been so applied, within such three-month period, an amount equal to any such Net Proceeds shall be applied to the prepayment of the Term Loans as set forth herein within three (3) Business Days after the earlier of (I) the end of the applicable three-month period and (II) such time that the Company reasonably determines that such Net Proceeds are no longer intended to be or cannot be so applied;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(y) if the amount of the prepayment made pursuant to this clause (ii) is less than $195,000,000, then, in the event and on each occasion that any Net Proceeds are received by or on behalf of any Loan Party or any Restricted Subsidiary in respect of any Prepayment Event of the type described in clauses (c) of the term “Prepayment Event”, the Borrowers shall, within three (3) Business Days after such Net Proceeds are received, prepay the Term Loans as set forth in Section 2.11(e) below in an aggregate amount equal to 100% of such Net Proceeds until the aggregate amount of prepayments made pursuant to this clause (ii) equals at least $195,000,000.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(iii) In the event that all or any portion of the purchase price consideration for the Take-Private Transaction is funded with proceeds of Revolving Loans, then in the event and on each occasion that any Net Proceeds are received by or on behalf of any Loan Party or any Restricted Subsidiary in respect of any Prepayment Event of the type described in clause (c) of the term “Prepayment Event”, the Borrowers shall, within three (3) Business Days after any such Net Proceeds are received, prepay the Term Loans as set forth in Section 2.11(e) below in an aggregate amount equal to 100% of such Net Proceeds until the aggregate amount of prepayments made pursuant to this clause (iii) equals (x) $195,000,000 plus (y) 100% of the amount of the Net Proceeds of any High Yield Notes plus (z) the amount of Revolving Loans borrowed hereunder to fund the Take-Private Transaction and the Take-Private Transaction Transaction Expenses; provided that, if the Borrowers have made a prepayment of Term Loans pursuant to this clause (iii) in an amount of at least $195,000,000 and the Sponsor Equity Injection is </w:t>
      </w:r>
      <w:r>
        <w:rPr>
          <w:rFonts w:ascii="Times New Roman" w:hAnsi="Times New Roman"/>
          <w:color w:val="008000"/>
          <w:sz w:val="20"/>
          <w:u w:val="single"/>
          <w:bdr w:val="double" w:sz="2" w:space="1" w:color="000000"/>
        </w:rPr>
        <w:t>equal to or in excess of $</w:t>
      </w:r>
      <w:r>
        <w:rPr>
          <w:rFonts w:ascii="Times New Roman" w:hAnsi="Times New Roman"/>
          <w:color w:val="0000FF"/>
          <w:sz w:val="20"/>
          <w:u w:val="single"/>
          <w:bdr w:val="double" w:sz="2" w:space="1" w:color="000000"/>
        </w:rPr>
        <w:t>125,000,000 and/or High Yield Notes have been issued in an aggregate principal amount equal to or in excess of $450,000,000, at the option of the Company by written notice to the Administrative Agent, the Company may reduce the amount of the prepayment required pursuant to this clause (iii) by a specified amount of such excess Net Proceeds that are being reserved to consummate Permitted Acquisitions that the Company reasonably anticipates will occur within three (3) months following the date of the Sponsor Equity Injection or High Yield Note issuance, as applicable; provided, that if any such reserved Net Proceeds are no longer intended to be or cannot be so applied, or have not been so applied, within such three-month period, an amount equal to any such Net Proceeds shall be applied to the prepayment of the Term Loans as set forth herein within three (3) Business Days after the earlier of (I) the end of the applicable three-month period and (II) such time that the Company reasonably determines that such Net Proceeds are no longer intended to be or cannot be so applied.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Borrower Representative shall notify the Administrative Agent (and, in the case of prepayment of a Swingline Loan, the Swingline Lender) by telephone (confirmed by email) or through any Electronic System, if arrangements for doing so have been approved by the Administrative Agent, of any prepayment under this Section: (i) in the case of prepayment of a Term Benchmark Borrowing, not later than noon, Chicago time, three (3) Business Days before the date of prepayment, (ii) in the case of an RFR Borrowing, not later than noon, Chicago time, five (5) Business Days before the date of prepayment, (iii) in the case of prepayment of an ABR Borrowing (other than a Swingline Loan) or a Canadian Prime Rate Borrowing, not later than noon, Chicago time, one (1) Business Day before the date of prepayment or (iv) in the case of prepayment of a Swingline Loan, not later than noon, Chicago time, on the date of prepayment. Each such notice shall be irrevocable and shall specify the prepayment date and the principal amount of each Borrowing or portion thereof to be prepaid; </w:t>
      </w:r>
      <w:r>
        <w:rPr>
          <w:rFonts w:ascii="Times New Roman" w:hAnsi="Times New Roman"/>
          <w:sz w:val="20"/>
          <w:u w:val="single"/>
        </w:rPr>
        <w:t>provided</w:t>
      </w:r>
      <w:r>
        <w:rPr>
          <w:rFonts w:ascii="Times New Roman" w:hAnsi="Times New Roman"/>
          <w:sz w:val="20"/>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applicable Lenders of the contents thereof. Each partial prepayment of any Borrowing shall be in an amount that would be permitted in the case of an advance of a Borrowing of the same Type and Class as provided in Section 2.02, except as necessary to apply fully the required amount of a mandatory prepayment. Each prepayment of a Borrowing of any Class shall be applied ratably to the Loans of such Class included in the prepaid Borrowing; provided that each mandatory prepayment of a Term Loan Borrowing shall be applied in accordance with Section 2.11(e). Prepayments shall be accompanied by (i) accrued interest to the extent required by Section 2.13 and (ii) break funding payments pursuant to Section 2.16.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prepayments required to be made pursuant to Section 2.11(c) shall be applied to prepay the Term Loans (i) ratably across all Classes of Term Loans and (ii) within each such Class, first, to accrued and unpaid interest in respect thereof and, second, </w:t>
      </w:r>
      <w:r>
        <w:rPr>
          <w:rFonts w:ascii="Times New Roman" w:hAnsi="Times New Roman"/>
          <w:strike/>
          <w:color w:val="FF0000"/>
          <w:sz w:val="20"/>
        </w:rPr>
        <w:t xml:space="preserve">ratably to the first four scheduled repayments of such </w:t>
      </w:r>
      <w:r>
        <w:rPr>
          <w:rFonts w:ascii="Times New Roman" w:hAnsi="Times New Roman"/>
          <w:strike/>
          <w:color w:val="008000"/>
          <w:sz w:val="20"/>
        </w:rPr>
        <w:t xml:space="preserve">Class of Term Loans and </w:t>
      </w:r>
      <w:r>
        <w:rPr>
          <w:rFonts w:ascii="Times New Roman" w:hAnsi="Times New Roman"/>
          <w:strike/>
          <w:color w:val="FF0000"/>
          <w:sz w:val="20"/>
        </w:rPr>
        <w:t xml:space="preserve">then ratably </w:t>
      </w:r>
      <w:r>
        <w:rPr>
          <w:rFonts w:ascii="Times New Roman" w:hAnsi="Times New Roman"/>
          <w:sz w:val="20"/>
        </w:rPr>
        <w:t>to the remaining scheduled repayments of such Class of Term Loans (including, for the avoidance of doubt, each repayment to be made on the Maturity Date of the applicable Term Loans) to be made pursuant to Section 2.10</w:t>
      </w:r>
      <w:r>
        <w:rPr>
          <w:rFonts w:ascii="Times New Roman" w:hAnsi="Times New Roman"/>
          <w:color w:val="0000FF"/>
          <w:sz w:val="20"/>
          <w:u w:val="single"/>
          <w:bdr w:val="double" w:sz="2" w:space="1" w:color="000000"/>
        </w:rPr>
        <w:t xml:space="preserve"> in direct order of maturity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Notwithstanding any other provisions of this Section 2.11, (i) to the extent that any or all of the Net Proceeds of any Prepayment Event by a Foreign Subsidiary giving rise to a prepayment pursuant to Section 2.11(c) above (a “</w:t>
      </w:r>
      <w:r>
        <w:rPr>
          <w:rFonts w:ascii="Times New Roman" w:hAnsi="Times New Roman"/>
          <w:sz w:val="20"/>
          <w:u w:val="single"/>
        </w:rPr>
        <w:t>Foreign Prepayment Event</w:t>
      </w:r>
      <w:r>
        <w:rPr>
          <w:rFonts w:ascii="Times New Roman" w:hAnsi="Times New Roman"/>
          <w:sz w:val="20"/>
        </w:rPr>
        <w:t xml:space="preserve">”) are prohibited or delayed by any law (including financial assistance, corporate benefit, restrictions on upstreaming of cash, and the fiduciary and statutory duties of directors) applicable to such Foreign Subsidiary from being repatriated to any Loan Party, an amount equal to the portion of such Net Proceeds so affected will not be required to be applied to repay the Obligations at the times provided in Sections 2.11(c) and 2.11(e) above, but only so long as the applicable law will not permit repatriation to any Loan Party (the Loan Parties hereby agreeing to cause the applicable Foreign Subsidiary to promptly take all commercially reasonable actions (as determined in the Company’s reasonable business judgment) that are reasonably required by the applicable law to permit such repatriation to a Loan Party), and once a repatriation of any of such affected Net Proceeds is permitted in such year under the applicable law, an amount equal to such Net Proceeds will be promptly (and in any event not later than three (3) Business Days after such repatriation is permitted) applied (net of any taxes (including withholding taxes), costs or expenses that would be payable or reserved against if such amounts were actually repatriated whether or not they are repatriated) pursuant to Sections 2.11(c) and 2.11(e) above, and (ii) to the extent that the Company has determined in good faith that any of or all the repatriation of Net Proceeds of any Foreign Prepayment Event could have adverse tax consequences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its Subsidiaries or any direct or indirect parent thereof with respect to such Net Proceeds, which, for the avoidance of doubt, includes but is not limited to any prepayment whereby doing so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and/or its Subsidiaries would incur a tax liability including a tax dividend, deemed dividend pursuant to Section 956 of the Code or a withholding tax, an amount equal to the Net Proceeds so affected may be retained by the applicable Restricted Subsidiary until such time as it may repatriate such amount without incurring such adverse tax consequences (at which time an amount equal to such Net Proceeds shall be promptly applied to repay the Term Loans in accordance with this Section 2.11). For the avoidance of doubt, so long as an amount equal to the amount of the Net Proceeds required to be applied in accordance with Sections 2.11(c) and 2.11(e) above is applied by the Borrowers, nothing in this Agreement shall be construed to require any Foreign Subsidiary to repatriate cash. The non-application of any prepayment amounts as a consequence of this clause (f) will not, for the avoidance of doubt, constitute a Default or Event of Default, and such amounts shall be available for working capital purposes or other general corporate purposes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as long as not required to be prepaid in accordance with the foregoing provisions of this clause (f). </w:t>
      </w:r>
    </w:p>
    <w:p>
      <w:pPr>
        <w:pStyle w:val="TextBody"/>
        <w:bidi w:val="0"/>
        <w:spacing w:before="120" w:after="0"/>
        <w:jc w:val="left"/>
        <w:rPr>
          <w:rFonts w:ascii="Times New Roman" w:hAnsi="Times New Roman"/>
          <w:sz w:val="20"/>
        </w:rPr>
      </w:pPr>
      <w:r>
        <w:rPr>
          <w:rFonts w:ascii="Times New Roman" w:hAnsi="Times New Roman"/>
          <w:sz w:val="20"/>
        </w:rPr>
        <w:t>(g) Any Term Lender may elect (in its sole discretion) to decline all (but not less than all) of its Applicable Percentage or other applicable share provided for under this Agreement of the prepayment (such amounts so declined, the “</w:t>
      </w:r>
      <w:r>
        <w:rPr>
          <w:rFonts w:ascii="Times New Roman" w:hAnsi="Times New Roman"/>
          <w:sz w:val="20"/>
          <w:u w:val="single"/>
        </w:rPr>
        <w:t>Declined Amounts</w:t>
      </w:r>
      <w:r>
        <w:rPr>
          <w:rFonts w:ascii="Times New Roman" w:hAnsi="Times New Roman"/>
          <w:sz w:val="20"/>
        </w:rPr>
        <w:t>”) of any mandatory prepayment by giving notice of such election in writing (each, a “</w:t>
      </w:r>
      <w:r>
        <w:rPr>
          <w:rFonts w:ascii="Times New Roman" w:hAnsi="Times New Roman"/>
          <w:sz w:val="20"/>
          <w:u w:val="single"/>
        </w:rPr>
        <w:t>Rejection Notice</w:t>
      </w:r>
      <w:r>
        <w:rPr>
          <w:rFonts w:ascii="Times New Roman" w:hAnsi="Times New Roman"/>
          <w:sz w:val="20"/>
        </w:rPr>
        <w:t xml:space="preserve">”) to the Administrative Agent by 12:00 p.m. (New York City time), one (1) Business Day prior to the date on which such payment is due. Each Rejection Notice from a given Lender shall specify the principal amount of the mandatory repayment of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to be rejected by such Lender. If a Lender fails to deliver a Rejection Notice to the Administrative Agent within the time frame specified above, or such Rejection Notice fails to specify the principal amount of the Term Loans to be rejected, any such failure will be deemed to constitute an acceptance of such Lender’s Applicable Percentage or other applicable share provided for under this Agreement of the total amount of such mandatory prepayment of Term Loans. Upon receipt by the Administrative Agent, of such Rejection Notice, the Administrative Agent shall immediately notify the Borrowers of such election. The aggregate amount of the Declined Amounts shall be retained by the Borrowers and their Restricted Subsidiaries and/or applied by a Borrower or any of its Restricted Subsidiaries in any manner not inconsistent with the terms of this Agreement (such Declined Amounts retained and/or applied by the Borrowers and their Restricted Subsidiaries, the “</w:t>
      </w:r>
      <w:r>
        <w:rPr>
          <w:rFonts w:ascii="Times New Roman" w:hAnsi="Times New Roman"/>
          <w:sz w:val="20"/>
          <w:u w:val="single"/>
        </w:rPr>
        <w:t>Borrower Retained Prepayment Amounts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agree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and the Swingline Exposure of a Lender shall be excluded in the drawn portion of the Revolving Commitment of such Lender for purposes of calculating the commitment fee. Accrued commitment fees shall be payable in arrears on the fifteenth (15th) day following the last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agree to pay (i) to the Administrative Agent for the account of each Revolving Lender a participation fee with respect to its participations in Letters of Credit, which shall accrue at the same Applicable Rate used to determine the interest rate applicable to Term Benchmark Loans, as applicable, on the daily Dollar Equivalent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each Issuing Bank a fronting fee, for its own account, which shall accrue at the rate or rates per annum separately agreed upon between the Borrowers and the Issuing Bank on the daily Dollar Equivalent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with respect to Letters of Credit issued by such Issuing Bank,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Borrowers agree to pay to the Administrative Agent, for its own account, fees payable in the amounts and at the times separately agreed upon between the Borrowers and the Administrative Agent.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The Borrowers agree to pay to the Administrative Agent for the ratable account of each Revolving Lender a duration fee which shall accrue at the rate of 0.50% per annum (the “Duration Fee Rate”) on the aggregate amount of Revolving Loans funded pursuant to Section 4.03 during the Certain Funds Period (without regard to any subsequent repayment thereof) to fund a portion of the purchase price for the Take-Private Transaction during the period (i) </w:t>
      </w:r>
      <w:r>
        <w:rPr>
          <w:rFonts w:ascii="Times New Roman" w:hAnsi="Times New Roman"/>
          <w:color w:val="008000"/>
          <w:sz w:val="20"/>
          <w:u w:val="single"/>
          <w:bdr w:val="double" w:sz="2" w:space="1" w:color="000000"/>
        </w:rPr>
        <w:t xml:space="preserve">in the event that the </w:t>
      </w:r>
      <w:r>
        <w:rPr>
          <w:rFonts w:ascii="Times New Roman" w:hAnsi="Times New Roman"/>
          <w:color w:val="0000FF"/>
          <w:sz w:val="20"/>
          <w:u w:val="single"/>
          <w:bdr w:val="double" w:sz="2" w:space="1" w:color="000000"/>
        </w:rPr>
        <w:t xml:space="preserve">High Yield Notes are not Fully Funded and the Take-Private Mandatory Prepayment Requirements have not been fully satisfied at the Effective Time, from and including the Effective Time to and including the 90th day after the Effective Time, (ii) in the event that the High Yield Notes are not Fully Funded and the Take-Private Mandatory Prepayment Requirements have not been fully satisfied on the 91st day after the Effective Time, from and including the 91st day after the Effective Time to and including the 180th day after the Effective Time, and (iii) in the event that the High Yield Notes are not Fully Funded and the Take-Private Mandatory Prepayment Requirements have not been fully satisfied on the 181st day after the Effective Time, from and including the 181st day after the Effective Time to and including the 270th day after the Effective Time. Accrued duration fees shall be payable in arrears on the fifteenth (15th) day following the last day of March, June, September and December, commencing on the first such date to occur after the 90th day after the Effective Time. All duration fees shall be computed on the basis of a year of 360 days and shall be payable for the actual number of days elapsed (including the first day but excluding the last day).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(e) </w:t>
      </w:r>
      <w:r>
        <w:rPr>
          <w:rFonts w:ascii="Times New Roman" w:hAnsi="Times New Roman"/>
          <w:strike/>
          <w:color w:val="FF0000"/>
          <w:sz w:val="20"/>
        </w:rPr>
        <w:t>(d) </w:t>
      </w:r>
      <w:r>
        <w:rPr>
          <w:rFonts w:ascii="Times New Roman" w:hAnsi="Times New Roman"/>
          <w:sz w:val="20"/>
        </w:rPr>
        <w:t xml:space="preserve">All fees payable hereunder shall be paid on the dates due, in dollars in immediately available funds, to the Administrative Agent (or to the Issuing Bank, in the case of fees payable to it) for distribution, in the case of commitment fees and participation fees, to the Lenders entitled thereto. Fees paid shall not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Loans comprising each ABR Borrowing (including each Swingline Loan) shall bear interest at the Alternate Base Rate plus the Applicable Rate, and the Loans comprising each Canadian Prime Rate Borrowing shall bear interest at the Canadian Prime Rate plus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(b) The Loans comprising each Term Benchmark Borrowing shall bear interest at the Adjusted Term SOFR Rate or Adjusted Term CORRA Rate, as applicable, for the Interest Period in effect for such Borrowing plus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(c) Each RFR Loan shall bear interest at a rate per annum equal to the Adjusted Daily Simple SOFR or Adjusted Daily Simple CORRA, as applicable, plus the Applicable Rate.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directly affected thereby” for reductions in interest rates), declare that (i) all Loans shall bear interest at 2% per annum plus the rate otherwise applicable to such Loans as provided in the preceding paragraphs of this Section, (ii) the fees payable pursuant to Section 2.12(b) shall be increased by 2% per annum or (iii) in the case of any other overdue amount outstanding hereunder, such amount shall accrue at 2% per annum plus the rate applicable to such fee or other obligation as provided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Accrued interest on each Loan shall be payable in arrears, in the same Agreed Currency as the applicable Loan, on each Interest Payment Date for such Loan and, in the case of Revolving Loans, upon termination of the Revolving Commitments; </w:t>
      </w:r>
      <w:r>
        <w:rPr>
          <w:rFonts w:ascii="Times New Roman" w:hAnsi="Times New Roman"/>
          <w:sz w:val="20"/>
          <w:u w:val="single"/>
        </w:rPr>
        <w:t>provided</w:t>
      </w:r>
      <w:r>
        <w:rPr>
          <w:rFonts w:ascii="Times New Roman" w:hAnsi="Times New Roman"/>
          <w:sz w:val="20"/>
        </w:rPr>
        <w:t xml:space="preserve"> that (i) interest accrued pursuant to paragraph (d) of this Section shall be payable on demand, (ii) in the event of any repayment or prepayment of any Loan (other than a prepayment of an ABR Revolving Loan or a Canadian Prime Rate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(f) All interest hereunder shall be computed on the basis of a year of 360 days, except that interest computed by reference to the Alternate Base Rate at times when the Alternate Base Rate is based on the Prime Rate, Term CORRA, Daily Simple CORRA and the Canadian Prime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Daily Simple SOFR, Daily Simple SOFR, Canadian Prime Rate, Adjusted Term CORRA Rate, Term CORRA, Adjusted Daily Simple CORRA and Daily Simple CORRA shall be determined by the Administrative Agent, and such determination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(g) For purposes of disclosure pursuant to the Interest Act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 The principle of deemed reinvestment of interest does not apply to any interest calculation under this Agreement and the rates of interest stipulated in this Agreement are intended to be nominal rates and not effective rates or yields. </w:t>
      </w:r>
    </w:p>
    <w:p>
      <w:pPr>
        <w:pStyle w:val="TextBody"/>
        <w:bidi w:val="0"/>
        <w:spacing w:before="120" w:after="0"/>
        <w:jc w:val="left"/>
        <w:rPr>
          <w:rFonts w:ascii="Times New Roman" w:hAnsi="Times New Roman"/>
          <w:sz w:val="20"/>
        </w:rPr>
      </w:pPr>
      <w:r>
        <w:rPr>
          <w:rFonts w:ascii="Times New Roman" w:hAnsi="Times New Roman"/>
          <w:sz w:val="20"/>
        </w:rPr>
        <w:t>(h) If any provision of this Agreement or of any of the other Loan Documents would obligate any Loan Party to make any payment of interest or other amount payable to the Lenders in an amount or calculated at a rate which would be prohibited by law or would result in a receipt by the Lenders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(1) </w:t>
      </w:r>
      <w:r>
        <w:rPr>
          <w:rFonts w:ascii="Times New Roman" w:hAnsi="Times New Roman"/>
          <w:sz w:val="20"/>
          <w:u w:val="single"/>
        </w:rPr>
        <w:t>firstly</w:t>
      </w:r>
      <w:r>
        <w:rPr>
          <w:rFonts w:ascii="Times New Roman" w:hAnsi="Times New Roman"/>
          <w:sz w:val="20"/>
        </w:rPr>
        <w:t xml:space="preserve">, by reducing the amount or rate of interest required to be paid to the Lenders under this Section 2.13, and (2) thereafter, by reducing any fees, commissions, premiums and other amounts required to be paid to the Lenders which would constitute “interest” for purposes of Section 347 of the Criminal Code (Canada). Notwithstanding the foregoing, and after giving effect to all adjustments contemplated thereby, if the Lenders shall have received an amount in excess of the maximum permitted by that section of the Criminal Code (Canada), the Loan Parties shall be entitled, by notice in writing to the Administrative Agent, to obtain reimbursement from the Lenders in an amount equal to such excess and, pending such reimbursement, such amount shall be deemed to be an amount payable by the Lenders to the Borrowers. Any amount or rate of interest referred to in this Section 2.13(g)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Effective Date to the Maturity Date and, in the event of a dispute, a certificate of a Fellow of the Canadian Institute of Actuaries appointed by the Administrative Agent shall be conclusive for the purposes of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Alternate Rate of Interest; Illegality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clauses (b), (c), (d), (e) and (f) of this Section 2.14, if: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the Term SOFR Rate or the Adjusted Term CORRA Rate, as applicable (including, without limitation, because the Relevant Screen Rate is not available or published on a current basis), for the applicable Agreed Currency and such Interest Period or (B) at any time, that adequate and reasonable means do not exist for ascertaining the applicable Adjusted Daily Simple SOFR, Adjusted Daily Simple CORRA, Daily Simple SOFR or Daily Simple CORRA for an RFR Loan; or </w:t>
      </w:r>
    </w:p>
    <w:p>
      <w:pPr>
        <w:pStyle w:val="TextBody"/>
        <w:bidi w:val="0"/>
        <w:spacing w:before="120" w:after="0"/>
        <w:jc w:val="left"/>
        <w:rPr>
          <w:rFonts w:ascii="Times New Roman" w:hAnsi="Times New Roman"/>
          <w:sz w:val="20"/>
        </w:rPr>
      </w:pPr>
      <w:r>
        <w:rPr>
          <w:rFonts w:ascii="Times New Roman" w:hAnsi="Times New Roman"/>
          <w:sz w:val="20"/>
        </w:rPr>
        <w:t xml:space="preserve">(ii) the Administrative Agent is advised by the Required Lenders that (A) prior to the commencement of any Interest Period for a Term Benchmark Borrowing that the Adjusted Term SOFR Rate, the Term SOFR Rate or the Adjusted Term CORRA Rate, as applicable, for the applicable Agreed Currency and such Interest Period will not adequately and fairly reflect the cost to such Lenders (or Lender) of making or maintaining their Loans (or Loan) included in such Borrowing for such Agreed Currency and such Interest Period or (B) at any time, the applicable Adjusted Daily Simple SOFR or Adjusted Daily Simple CORRA for an RFR Loan will not adequately and fairly reflect the cost to such Lenders (or Lender) of making or maintaining their Loans (or its Loan) included in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Administrative Agent shall give notice thereof to the Borrower Representative and the Lenders through any Electronic System as provided in Section 9.01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(I) for Loans denominated in Dollars,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an RFR Borrowing (so long as the Adjusted Daily Simple SOFR is not also the subject of Section 2.14(a)(i) or (ii) above) or an ABR Borrowing (if the Adjusted Daily Simple SOFR also is the subject of Section 2.14(a)(i) or (ii) above) and (II) for Loans denominated in Canadian </w:t>
      </w:r>
      <w:r>
        <w:rPr>
          <w:rFonts w:ascii="Times New Roman" w:hAnsi="Times New Roman"/>
          <w:strike/>
          <w:color w:val="FF0000"/>
          <w:sz w:val="20"/>
        </w:rPr>
        <w:t>dollars</w:t>
      </w:r>
      <w:r>
        <w:rPr>
          <w:rFonts w:ascii="Times New Roman" w:hAnsi="Times New Roman"/>
          <w:color w:val="0000FF"/>
          <w:sz w:val="20"/>
          <w:u w:val="single"/>
          <w:bdr w:val="double" w:sz="2" w:space="1" w:color="000000"/>
        </w:rPr>
        <w:t>Dollars</w:t>
      </w:r>
      <w:r>
        <w:rPr>
          <w:rFonts w:ascii="Times New Roman" w:hAnsi="Times New Roman"/>
          <w:sz w:val="20"/>
        </w:rPr>
        <w:t xml:space="preserve">, any Interest Election Request that requests the conversion of any Revolving Borrowing to, or continuation of any Revolving Borrowing as, a Term Benchmark Borrowing and any Borrowing Request that requests a Term Benchmark Borrowing shall instead be deemed to be an Interest Election Request or a Borrowing Request, as applicable, for a Canadian Prime Rate Borrowing.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Section 2.08 or a new Borrowing Request in accordance with the terms of Section 2.03, (1) any Term Benchmark Loan denominated in Dollars shall on the last day of the Interest Period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such Loan (or the next succeeding Business Day if such day is not a Business Day), be converted by the Administrative Agent to, and shall constitute, an RFR Borrowing (so long as the Adjusted Daily Simple SOFR is not also the subject of Section 2.14(a)(i) or (ii) above) or an ABR Loan (if the Adjusted Daily Simple SOFR also is the subject of Section 2.14(a)(i) or (ii) above), on such day, (2) any RFR Loan denominated in Dollars shall on and from such day be converted by the Administrative Agent to, and shall constitute, an ABR Loan, (3) any Term Benchmark Loan denominated in Canadian Dollars shall on the last day of the Interest Period applicable to such Loan (or the next succeeding Business Day if such day is not a Business Day), be converted by the Administrative Agent to, and shall constitute, a Canadian Prime Rate Loan and (4) any RFR Loan denominated in Canadian Dollars shall on and from such day be converted by the Administrative Agent to, and shall constitute, a Canadian Prime Rate Loan.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(Chicago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w:t>
      </w:r>
    </w:p>
    <w:p>
      <w:pPr>
        <w:pStyle w:val="TextBody"/>
        <w:bidi w:val="0"/>
        <w:spacing w:before="120" w:after="0"/>
        <w:jc w:val="left"/>
        <w:rPr>
          <w:rFonts w:ascii="Times New Roman" w:hAnsi="Times New Roman"/>
          <w:sz w:val="20"/>
        </w:rPr>
      </w:pPr>
      <w:r>
        <w:rPr>
          <w:rFonts w:ascii="Times New Roman" w:hAnsi="Times New Roman"/>
          <w:sz w:val="20"/>
        </w:rPr>
        <w:t xml:space="preserve">(c) (i)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(c)(ii) shall not be effective unless the Administrative Agent has delivered to the Lenders and the Borrower Representative a Term CORRA Notice. For the avoidance of doubt, the Administrative Agent shall not be required to deliver a Term CORRA Notice after the occurrence of a Term CORRA Reelection Event and may do so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Section 2.14(e)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herein or in any other Loan Document, at any time (including in connection with the implementation of a Benchmark Replacement), (i) if the then-current Benchmark is a term rate (including the Term SOFR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(f) Upon the Borrower’s receipt of notice of the commencement of a Benchmark Unavailability Period for any Benchmark, the Borrower Representative may revoke any request for a Term Benchmark Borrowing of, conversion to or continuation of Term Benchmark Loans to be made, converted or continued, as applicable, during any Benchmark Unavailability Period for such Benchmark and, failing that, either (i) the Borrower Representative will be deemed to have converted any such request for a Term Benchmark Borrowing denominated in Dollars into a request for a Borrowing of or conversion to an RFR Borrowing (so long as the Adjusted Daily Simple SOFR is not the subject of a Benchmark Transition Event) or an ABR Borrowing (if the Adjusted Daily Simple SOFR is the subject of a Benchmark Transition Event) or (ii) the Borrower Representative will be deemed to have converted any such request for a Term Benchmark Borrowing denominated in Canadian Dollars into a request for a Borrowing of or a conversion to a Canadian Prime Rate Borrowing. During any Benchmark Unavailability Period for any Benchmark or at any time that a tenor for any then-current Benchmark is not an Available Tenor, (x) in the case of any Benchmark for Dollars, the component of ABR based upon such then-current Benchmark or such tenor for such Benchmark, as applicable, will not be used in any determination of ABR and (y) in the case of any Benchmark for Canadian Dollars, the component of the Canadian Prime Rate based upon such then-current Benchmark or such tenor for such Benchmark, as applicable, will not be used in any determination of the Canadian Prime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therefor is implemented pursuant to this Section 2.14, (1) any Term Benchmark Loan denominated in Dollars shall on the last day of the Interest Period applicable to such Loan (or the next succeeding Business Day if such day is not a Business Day), be converted by the Administrative Agent to, and shall constitute, an RFR Borrowing (so long as the Adjusted Daily Simple SOFR is not the subject of a Benchmark Transition Event) or an ABR Loan (if the Adjusted Daily Simple SOFR is the subject of a Benchmark Transition Event), on such day, (2) any RFR Loan denominated in Dollars shall on and from such day be converted by the Administrative Agent to, and shall constitute an ABR Loan, (3) any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Benchmark Loan denominated in Canadian Dollars shall on the last day of the Interest Period applicable to such Loan (or the next succeeding Business Day if such day is not a Business Day), be converted by the Administrative Agent to, and shall constitute, a Canadian Prime Rate Loan and (4) any RFR Loan denominated in Canadian Dollars shall on and from such day be converted by the Administrative Agent to, and shall constitute, a Canadian Prime Rate Loan.</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Increased Costs</w:t>
      </w:r>
      <w:r>
        <w:rPr>
          <w:rFonts w:ascii="Times New Roman" w:hAnsi="Times New Roman"/>
          <w:sz w:val="20"/>
        </w:rPr>
        <w:t xml:space="preserve">. (a)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liquidity or similar requirement (including any compulsory loan requirement, insurance charge or other assessment) against assets of, deposits with or for the account of, or credit extended by, any Lender or the Issuing Bank (except any reserve requirement reflected in the Adjusted Term CORRA Rate); or </w:t>
      </w:r>
    </w:p>
    <w:p>
      <w:pPr>
        <w:pStyle w:val="TextBody"/>
        <w:bidi w:val="0"/>
        <w:spacing w:before="120" w:after="0"/>
        <w:jc w:val="left"/>
        <w:rPr>
          <w:rFonts w:ascii="Times New Roman" w:hAnsi="Times New Roman"/>
          <w:sz w:val="20"/>
        </w:rPr>
      </w:pPr>
      <w:r>
        <w:rPr>
          <w:rFonts w:ascii="Times New Roman" w:hAnsi="Times New Roman"/>
          <w:sz w:val="20"/>
        </w:rPr>
        <w:t xml:space="preserve">(ii) impose on any Lender or the Issuing Bank or the applicable offshore interbank market for the applicable Agreed Currency any other condition, cost or expense (other than Taxes) affecting this Agreement or Loans made by such Lender or any Letter of Credit or participation therein; or </w:t>
      </w:r>
    </w:p>
    <w:p>
      <w:pPr>
        <w:pStyle w:val="TextBody"/>
        <w:bidi w:val="0"/>
        <w:spacing w:before="120" w:after="0"/>
        <w:jc w:val="left"/>
        <w:rPr>
          <w:rFonts w:ascii="Times New Roman" w:hAnsi="Times New Roman"/>
          <w:sz w:val="20"/>
        </w:rPr>
      </w:pPr>
      <w:r>
        <w:rPr>
          <w:rFonts w:ascii="Times New Roman" w:hAnsi="Times New Roman"/>
          <w:sz w:val="20"/>
        </w:rPr>
        <w:t xml:space="preserve">(iii) 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Failure or delay on the part of any Lender or the Issuing Bank to demand compensation pursuant to this Section shall not constitute a waiver of such Lender’s or the Issuing Bank’s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Break Funding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2.09(d) and is revoked in accordance therewith), (iv) the assignment of any Term Benchmark Loan other than on the last day of the Interest Period applicable thereto as a result of a request by the Borrower Representative pursuant to Section 2.19 or 9.02(d), or (v) the failure by any Borrower to make any payment of any Loan or drawing under any Letter of Credit (or interest due thereon) denominated in an Alternative Currency on its scheduled due date or any payment thereof in a different currency, then, in any such event, the Borrowers shall compensate each Lender for the loss, cost and expense attributable to such event.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term RFR Loan, in the event of (i) the payment of any principal of such RFR Loan other than on the Interest Payment Date applicable thereto (including as a result of an Event of Default or an optional or mandatory prepayment of Loans), (ii) the failure to borrow or prepay such RFR Loan on the date specified in any notice delivered pursuant hereto (regardless of whether such notice may be revoked under Section 2.09(d) and is revoked in accordance therewith), or (iii) the assignment of such RFR Loan other than on the Interest Payment Date applicable thereto as a result of a request by the Borrower Representative pursuant to Section 2.19 or 9.02(d), then, in any such event, the Borrowers shall compensate each Lender for the loss, cost and expense attributable to such event. </w:t>
      </w:r>
    </w:p>
    <w:p>
      <w:pPr>
        <w:pStyle w:val="TextBody"/>
        <w:bidi w:val="0"/>
        <w:spacing w:before="120" w:after="0"/>
        <w:jc w:val="left"/>
        <w:rPr>
          <w:rFonts w:ascii="Times New Roman" w:hAnsi="Times New Roman"/>
          <w:sz w:val="20"/>
        </w:rPr>
      </w:pPr>
      <w:r>
        <w:rPr>
          <w:rFonts w:ascii="Times New Roman" w:hAnsi="Times New Roman"/>
          <w:sz w:val="20"/>
        </w:rPr>
        <w:t xml:space="preserve">(c)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Withholding of Taxes; Gross-Up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Loan Parties</w:t>
      </w:r>
      <w:r>
        <w:rPr>
          <w:rFonts w:ascii="Times New Roman" w:hAnsi="Times New Roman"/>
          <w:sz w:val="20"/>
        </w:rPr>
        <w:t xml:space="preserve">. The Loan Parties shall timely pay to the relevant Governmental Authority in accordance with applicable law, or at the option of the Administrative Agent timely reimburse it for, Other Taxes.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Evidence of Payment</w:t>
      </w:r>
      <w:r>
        <w:rPr>
          <w:rFonts w:ascii="Times New Roman" w:hAnsi="Times New Roman"/>
          <w:sz w:val="20"/>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Loan Parties</w:t>
      </w:r>
      <w:r>
        <w:rPr>
          <w:rFonts w:ascii="Times New Roman" w:hAnsi="Times New Roman"/>
          <w:sz w:val="20"/>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a Foreign Lender claiming the benefits of an income tax treaty to which the U.S.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 Foreign Lender claiming that its extension of credit will generate U.S. effectively connected income, an executed copy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Foreign Lender claiming the benefits of the exemption for portfolio interest under Section 881(c) of the Code, (x) a certificate substantially in the form of </w:t>
      </w:r>
      <w:r>
        <w:rPr>
          <w:rFonts w:ascii="Times New Roman" w:hAnsi="Times New Roman"/>
          <w:sz w:val="20"/>
          <w:u w:val="single"/>
        </w:rPr>
        <w:t>Exhibit C-1</w:t>
      </w:r>
      <w:r>
        <w:rPr>
          <w:rFonts w:ascii="Times New Roman" w:hAnsi="Times New Roman"/>
          <w:sz w:val="20"/>
        </w:rPr>
        <w:t xml:space="preserve"> to the effect that such Foreign Lender is not a “bank” within the meaning of Section 881(c)(3)(A) of the Code, a “10 percent shareholder” of a Borrower within the meaning of Section 871(h)(3)(B) of the Code, or a “controlled foreign corporation” related to the Borrower as described in Section 881(c)(3)(C) of the Code (a “U.S. Tax Compliance Certificate”) and (y) an executed copy of IRS Form W-8BEN or IRS Form W-8BEN-E, as applicable;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to the extent a Foreign Lender is not the beneficial owner, an executed copy of IRS Form W-8IMY, accompanied by IRS Form W-8ECI, IRS Form W-8BEN or IRS Form W-8BEN-E, as applicable, a U.S. Tax Compliance Certificate substantially in the form of </w:t>
      </w:r>
      <w:r>
        <w:rPr>
          <w:rFonts w:ascii="Times New Roman" w:hAnsi="Times New Roman"/>
          <w:sz w:val="20"/>
          <w:u w:val="single"/>
        </w:rPr>
        <w:t>Exhibit C-2</w:t>
      </w:r>
      <w:r>
        <w:rPr>
          <w:rFonts w:ascii="Times New Roman" w:hAnsi="Times New Roman"/>
          <w:sz w:val="20"/>
        </w:rPr>
        <w:t xml:space="preserve"> or </w:t>
      </w:r>
      <w:r>
        <w:rPr>
          <w:rFonts w:ascii="Times New Roman" w:hAnsi="Times New Roman"/>
          <w:sz w:val="20"/>
          <w:u w:val="single"/>
        </w:rPr>
        <w:t>Exhibit C-3</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C-4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Representative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Survival</w:t>
      </w:r>
      <w:r>
        <w:rPr>
          <w:rFonts w:ascii="Times New Roman" w:hAnsi="Times New Roman"/>
          <w:sz w:val="20"/>
        </w:rPr>
        <w:t xml:space="preserve">.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Defined Terms</w:t>
      </w:r>
      <w:r>
        <w:rPr>
          <w:rFonts w:ascii="Times New Roman" w:hAnsi="Times New Roman"/>
          <w:sz w:val="20"/>
        </w:rPr>
        <w:t xml:space="preserve">. For purposes of this Section 2.17, the term “Lender” includes any Issuing Bank and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Payments Generally; Allocation of Proceeds; Sharing of Setoffs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with respect to principal of and interest on Loans denominated in an Alternative Currency, the Borrowers shall make each payment or prepayment required to be made by it hereunder (whether of principal, interest, fees or reimbursement of LC Disbursements, or of amounts payable under Section 2.15, 2.16 or 2.17, or otherwise) in Dollars prior to 2:00 p.m., Chicago time, on the date when due or the date fixed for any prepayment hereunder and all payments with respect to principal and interest on Loans denominated in an Alternative Currency shall be made in such Alternative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applicable office or offices as described in the Administrative Questionnaire provided by the Administrative Agent to the Borrowers from time to time,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the Borrowers shall make such payment in Dollars in the Dollar Equivalent of the Alternative Currency payment amount. </w:t>
      </w:r>
    </w:p>
    <w:p>
      <w:pPr>
        <w:pStyle w:val="TextBody"/>
        <w:bidi w:val="0"/>
        <w:spacing w:before="120" w:after="0"/>
        <w:jc w:val="left"/>
        <w:rPr>
          <w:rFonts w:ascii="Times New Roman" w:hAnsi="Times New Roman"/>
          <w:sz w:val="20"/>
        </w:rPr>
      </w:pPr>
      <w:r>
        <w:rPr>
          <w:rFonts w:ascii="Times New Roman" w:hAnsi="Times New Roman"/>
          <w:sz w:val="20"/>
        </w:rPr>
        <w:t xml:space="preserve">(b) All payments and any proceeds of Collateral received by the Administrative Agent (i) not constituting either (A) a specific payment of principal, interest, fees or other sum payable under the Loan Documents (which shall be applied as specified by the Borrowers), or (B) a mandatory prepayment (which shall be applied in accordance with Section 2.11) or (ii) after an Event of Default has occurred and is continuing and the Administrative Agent so elects or the Required Lenders so direct, shall be applied ratably </w:t>
      </w:r>
      <w:r>
        <w:rPr>
          <w:rFonts w:ascii="Times New Roman" w:hAnsi="Times New Roman"/>
          <w:sz w:val="20"/>
          <w:u w:val="single"/>
        </w:rPr>
        <w:t>first</w:t>
      </w:r>
      <w:r>
        <w:rPr>
          <w:rFonts w:ascii="Times New Roman" w:hAnsi="Times New Roman"/>
          <w:sz w:val="20"/>
        </w:rPr>
        <w:t xml:space="preserve">, to pay any fees, indemnities, or expense reimbursements then due to the Administrative Agent, the Swingline Lender and the Issuing Bank from the Borrowers (other than in connection with Banking Services Obligations or Swap Agreement Obligations), </w:t>
      </w:r>
      <w:r>
        <w:rPr>
          <w:rFonts w:ascii="Times New Roman" w:hAnsi="Times New Roman"/>
          <w:sz w:val="20"/>
          <w:u w:val="single"/>
        </w:rPr>
        <w:t>second</w:t>
      </w:r>
      <w:r>
        <w:rPr>
          <w:rFonts w:ascii="Times New Roman" w:hAnsi="Times New Roman"/>
          <w:sz w:val="20"/>
        </w:rPr>
        <w:t xml:space="preserve">, to pay any fees, indemnities, or expense reimbursements then due to the Lenders from the Borrowers (other than in connection with Banking Services Obligations or Swap Agreement Obligations), </w:t>
      </w:r>
      <w:r>
        <w:rPr>
          <w:rFonts w:ascii="Times New Roman" w:hAnsi="Times New Roman"/>
          <w:sz w:val="20"/>
          <w:u w:val="single"/>
        </w:rPr>
        <w:t>third</w:t>
      </w:r>
      <w:r>
        <w:rPr>
          <w:rFonts w:ascii="Times New Roman" w:hAnsi="Times New Roman"/>
          <w:sz w:val="20"/>
        </w:rPr>
        <w:t xml:space="preserve">, to pay interest then due and payable on the Loans ratably, </w:t>
      </w:r>
      <w:r>
        <w:rPr>
          <w:rFonts w:ascii="Times New Roman" w:hAnsi="Times New Roman"/>
          <w:sz w:val="20"/>
          <w:u w:val="single"/>
        </w:rPr>
        <w:t>fourth</w:t>
      </w:r>
      <w:r>
        <w:rPr>
          <w:rFonts w:ascii="Times New Roman" w:hAnsi="Times New Roman"/>
          <w:sz w:val="20"/>
        </w:rPr>
        <w:t xml:space="preserve">, to prepay principal on the Loans and unreimbursed LC Disbursements, to pay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to the Administrative Agent equal to one hundred three percent (103%) of the aggregate LC Exposure in the manner set forth in Section 2.06(j), to be held as cash collateral for such Obligations and to pay any amounts owing in respect of Swap Agreement Obligations and Banking Services Obligations up to and including the amount most recently provided to the Administrative Agent pursuant to Section 2.22, ratably, and </w:t>
      </w:r>
      <w:r>
        <w:rPr>
          <w:rFonts w:ascii="Times New Roman" w:hAnsi="Times New Roman"/>
          <w:sz w:val="20"/>
          <w:u w:val="single"/>
        </w:rPr>
        <w:t>fifth</w:t>
      </w:r>
      <w:r>
        <w:rPr>
          <w:rFonts w:ascii="Times New Roman" w:hAnsi="Times New Roman"/>
          <w:sz w:val="20"/>
        </w:rPr>
        <w:t>, to the payment of any other Secured Obligation due to the Administrative Agent or any Lender from the Borrowers or any other Loan Party</w:t>
      </w:r>
      <w:r>
        <w:rPr>
          <w:rFonts w:ascii="Times New Roman" w:hAnsi="Times New Roman"/>
          <w:i/>
          <w:sz w:val="20"/>
        </w:rPr>
        <w:t xml:space="preserve">. </w:t>
      </w:r>
      <w:r>
        <w:rPr>
          <w:rFonts w:ascii="Times New Roman" w:hAnsi="Times New Roman"/>
          <w:sz w:val="20"/>
        </w:rPr>
        <w:t xml:space="preserve">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(i) on the expiration date of the Interest Period applicable thereto, or (ii) in the event, and only to the extent, that there are no outstanding ABR Loans or Canadian Prime Rate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Secured Obligations arising under Banking Services Obligations or Swap Agreement Obligations shall be excluded from the application described above and paid in clause </w:t>
      </w:r>
      <w:r>
        <w:rPr>
          <w:rFonts w:ascii="Times New Roman" w:hAnsi="Times New Roman"/>
          <w:sz w:val="20"/>
          <w:u w:val="single"/>
        </w:rPr>
        <w:t>fifth</w:t>
      </w:r>
      <w:r>
        <w:rPr>
          <w:rFonts w:ascii="Times New Roman" w:hAnsi="Times New Roman"/>
          <w:sz w:val="20"/>
        </w:rPr>
        <w:t xml:space="preserve"> if the Administrative Agent has not received written notice thereof, together with such supporting documentation as the Administrative Agent may have reasonably requested from the applicable provider of such Banking Services or Swap Agreements.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t>
      </w:r>
      <w:r>
        <w:rPr>
          <w:rFonts w:ascii="Times New Roman" w:hAnsi="Times New Roman"/>
          <w:sz w:val="20"/>
        </w:rPr>
        <w:t>Reserved.</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If, except as otherwise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Borrowers or any Restricted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 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2.11(c)), notice from the Borrower Representative that the Borrowers will not make such payment or prepayment,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 </w:t>
      </w:r>
    </w:p>
    <w:p>
      <w:pPr>
        <w:pStyle w:val="TextBody"/>
        <w:bidi w:val="0"/>
        <w:spacing w:before="120" w:after="0"/>
        <w:jc w:val="left"/>
        <w:rPr>
          <w:rFonts w:ascii="Times New Roman" w:hAnsi="Times New Roman"/>
          <w:sz w:val="20"/>
        </w:rPr>
      </w:pPr>
      <w:r>
        <w:rPr>
          <w:rFonts w:ascii="Times New Roman" w:hAnsi="Times New Roman"/>
          <w:sz w:val="20"/>
        </w:rPr>
        <w:t>(f) The Administrative Agent may from time to time provide the Borrowers with account statements or invoices with respect to any of the Secured Obligations (the “</w:t>
      </w:r>
      <w:r>
        <w:rPr>
          <w:rFonts w:ascii="Times New Roman" w:hAnsi="Times New Roman"/>
          <w:sz w:val="20"/>
          <w:u w:val="single"/>
        </w:rPr>
        <w:t>Statements</w:t>
      </w:r>
      <w:r>
        <w:rPr>
          <w:rFonts w:ascii="Times New Roman" w:hAnsi="Times New Roman"/>
          <w:sz w:val="20"/>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 </w:t>
      </w:r>
    </w:p>
    <w:p>
      <w:pPr>
        <w:pStyle w:val="TextBody"/>
        <w:bidi w:val="0"/>
        <w:spacing w:before="240" w:after="0"/>
        <w:jc w:val="left"/>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 </w:t>
      </w:r>
    </w:p>
    <w:p>
      <w:pPr>
        <w:pStyle w:val="TextBody"/>
        <w:bidi w:val="0"/>
        <w:spacing w:before="120" w:after="0"/>
        <w:jc w:val="left"/>
        <w:rPr>
          <w:rFonts w:ascii="Times New Roman" w:hAnsi="Times New Roman"/>
          <w:sz w:val="20"/>
        </w:rPr>
      </w:pPr>
      <w:r>
        <w:rPr>
          <w:rFonts w:ascii="Times New Roman" w:hAnsi="Times New Roman"/>
          <w:sz w:val="20"/>
        </w:rPr>
        <w:t xml:space="preserve">(b) If any Lender requests compensation under Section 2.15, or if the Borrowers are required to pay any Indemnified Taxes or additional amounts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other Loan Documents to an assignee (other than any Ineligible Institution) that shall assume such obligations (which assignee may be another Lender, if a Lender accepts such assignment) (provided that any Affiliate Lender assuming any such interests, rights or obligations shall be required to first comply with Section 9.04(f)); </w:t>
      </w:r>
      <w:r>
        <w:rPr>
          <w:rFonts w:ascii="Times New Roman" w:hAnsi="Times New Roman"/>
          <w:sz w:val="20"/>
          <w:u w:val="single"/>
        </w:rPr>
        <w:t>provided</w:t>
      </w:r>
      <w:r>
        <w:rPr>
          <w:rFonts w:ascii="Times New Roman" w:hAnsi="Times New Roman"/>
          <w:sz w:val="20"/>
        </w:rPr>
        <w:t xml:space="preserve"> that (i) the Borrowers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fees shall cease to accrue on the Unfunded Commitments of such Defaulting Lender pursuant to Section 2.12(a); </w:t>
      </w:r>
    </w:p>
    <w:p>
      <w:pPr>
        <w:pStyle w:val="TextBody"/>
        <w:bidi w:val="0"/>
        <w:spacing w:before="120" w:after="0"/>
        <w:jc w:val="left"/>
        <w:rPr>
          <w:rFonts w:ascii="Times New Roman" w:hAnsi="Times New Roman"/>
          <w:sz w:val="20"/>
        </w:rPr>
      </w:pPr>
      <w:r>
        <w:rPr>
          <w:rFonts w:ascii="Times New Roman" w:hAnsi="Times New Roman"/>
          <w:sz w:val="20"/>
        </w:rPr>
        <w:t xml:space="preserve">(b) 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Issuing Banks’ LC Exposure with respect to such Defaulting Lender in accordance with this Section; fourth, as the Borrower Representative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sixth,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of the applicable Class or Classes on a pro rata basis prior to being applied to the payment of any Loans of, or LC Disbursements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owed to, such Defaulting Lender until such time as all Loans and funded and unfunded participations in the Borrowers’ obligations corresponding to such Defaulting Lender’s LC Exposure and Swingline Loans are held by the Lenders of the applicable Class or Classes pro rata in accordance with the applicable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(c) such Defaulting Lender shall not have the right to vote on any issue on which voting is required (other than to the extent expressly provided in Section 9.02(b)) and the Unfunded Commitments and Credit Exposure of such Defaulting Lender shall not be included in determining whether the Required Lenders have taken or may take any action hereunder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(d) if any Swingline Exposure or LC Exposure exists at the time such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 </w:t>
      </w:r>
    </w:p>
    <w:p>
      <w:pPr>
        <w:pStyle w:val="TextBody"/>
        <w:bidi w:val="0"/>
        <w:spacing w:before="120" w:after="0"/>
        <w:jc w:val="left"/>
        <w:rPr>
          <w:rFonts w:ascii="Times New Roman" w:hAnsi="Times New Roman"/>
          <w:sz w:val="20"/>
        </w:rPr>
      </w:pPr>
      <w:r>
        <w:rPr>
          <w:rFonts w:ascii="Times New Roman" w:hAnsi="Times New Roman"/>
          <w:sz w:val="20"/>
        </w:rPr>
        <w:t>(ii) if the reallocation described in clause (i) above cannot, or can only partially, be effected, the Borrowers shall within one (1) Business Day following notice by the Administrative Agent (x) </w:t>
      </w:r>
      <w:r>
        <w:rPr>
          <w:rFonts w:ascii="Times New Roman" w:hAnsi="Times New Roman"/>
          <w:sz w:val="20"/>
          <w:u w:val="single"/>
        </w:rPr>
        <w:t>first</w:t>
      </w:r>
      <w:r>
        <w:rPr>
          <w:rFonts w:ascii="Times New Roman" w:hAnsi="Times New Roman"/>
          <w:sz w:val="20"/>
        </w:rPr>
        <w:t>, prepay such Swingline Exposure and (y) </w:t>
      </w:r>
      <w:r>
        <w:rPr>
          <w:rFonts w:ascii="Times New Roman" w:hAnsi="Times New Roman"/>
          <w:sz w:val="20"/>
          <w:u w:val="single"/>
        </w:rPr>
        <w:t>second</w:t>
      </w:r>
      <w:r>
        <w:rPr>
          <w:rFonts w:ascii="Times New Roman" w:hAnsi="Times New Roman"/>
          <w:sz w:val="20"/>
        </w:rPr>
        <w:t xml:space="preserve">,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 </w:t>
      </w:r>
    </w:p>
    <w:p>
      <w:pPr>
        <w:pStyle w:val="TextBody"/>
        <w:bidi w:val="0"/>
        <w:spacing w:before="120" w:after="0"/>
        <w:jc w:val="left"/>
        <w:rPr>
          <w:rFonts w:ascii="Times New Roman" w:hAnsi="Times New Roman"/>
          <w:sz w:val="20"/>
        </w:rPr>
      </w:pPr>
      <w:r>
        <w:rPr>
          <w:rFonts w:ascii="Times New Roman" w:hAnsi="Times New Roman"/>
          <w:sz w:val="20"/>
        </w:rPr>
        <w:t xml:space="preserve">(iv) if the LC Exposure of the non-Defaulting Lenders is reallocated pursuant to clause (i) above, then the fees payable to the Lenders pursuant to Sections 2.12(a) and 2.12(b) shall be adjusted in accordance with such non-Defaulting Lenders’ Applicable Percentages; and </w:t>
      </w:r>
    </w:p>
    <w:p>
      <w:pPr>
        <w:pStyle w:val="TextBody"/>
        <w:bidi w:val="0"/>
        <w:spacing w:before="120" w:after="0"/>
        <w:jc w:val="left"/>
        <w:rPr>
          <w:rFonts w:ascii="Times New Roman" w:hAnsi="Times New Roman"/>
          <w:sz w:val="20"/>
        </w:rPr>
      </w:pPr>
      <w:r>
        <w:rPr>
          <w:rFonts w:ascii="Times New Roman" w:hAnsi="Times New Roman"/>
          <w:sz w:val="20"/>
        </w:rPr>
        <w:t xml:space="preserve">(v) if all or any portion of such Defaulting Lender’s LC Exposure is neither reallocated nor cash collateralized pursuant to clause (i) or (ii) above, then, without prejudice to any rights or remedies of the Issuing Bank or any other Lender hereunder, all commitment fees that otherwise would have been payable to such Defaulting Lender (solely with respect to the portion of such Defaulting Lender’s Revolving Commitment that was utilized by such LC Exposure) and letter of credit fees payable under Section 2.12(b) with respect to such Defaulting Lender’s LC Exposure shall be payable to the Issuing Bank until and to the extent that such LC Exposure is reallocated and/or cash collateralized;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so long as such Lender is a Defaulting Lender, the Swingline Lender shall not be required to fund any Swingline Loan and the Issuing Bank shall not be required to issue, amend, renew, extend or increase any Letter of Credit, unless it is satisfied that the related exposure and such Defaulting Lender’s then outstanding LC Exposure will be 103% covered by the Revolving Commitments of the non-Defaulting Lenders and/or cash collateral will be provided by the Borrowers in accordance with Section 2.20(d), and Swingline Exposure related to any such newly made Swingline Loan or LC Exposure related to any newly issued or increased Letter of Credit shall be allocated among non-Defaulting Lenders in a manner consistent with Section 2.20(d)(i) (and such Defaulting Lender shall not participate therein). </w:t>
      </w:r>
    </w:p>
    <w:p>
      <w:pPr>
        <w:pStyle w:val="TextBody"/>
        <w:bidi w:val="0"/>
        <w:spacing w:before="240" w:after="0"/>
        <w:jc w:val="left"/>
        <w:rPr>
          <w:rFonts w:ascii="Times New Roman" w:hAnsi="Times New Roman"/>
          <w:sz w:val="20"/>
        </w:rPr>
      </w:pPr>
      <w:r>
        <w:rPr>
          <w:rFonts w:ascii="Times New Roman" w:hAnsi="Times New Roman"/>
          <w:sz w:val="20"/>
        </w:rPr>
        <w:t xml:space="preserve">If (i) a Bankruptcy Event or a Bail-In Action with respect to the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Borrowers or such Lender, satisfactory to the Swingline Lender or the Issuing Bank, as the case may be, to defease any risk to it in respect of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each of the Administrative Agent, the Borrowers,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 </w:t>
      </w:r>
    </w:p>
    <w:p>
      <w:pPr>
        <w:pStyle w:val="TextBody"/>
        <w:bidi w:val="0"/>
        <w:spacing w:before="240" w:after="0"/>
        <w:jc w:val="left"/>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Returned Payments</w:t>
      </w:r>
      <w:r>
        <w:rPr>
          <w:rFonts w:ascii="Times New Roman" w:hAnsi="Times New Roman"/>
          <w:sz w:val="20"/>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Banking Services and Swap Agreements</w:t>
      </w:r>
      <w:r>
        <w:rPr>
          <w:rFonts w:ascii="Times New Roman" w:hAnsi="Times New Roman"/>
          <w:sz w:val="20"/>
        </w:rPr>
        <w:t xml:space="preserve">. Each Lender or Affiliate thereof providing Banking Services for, or having Swap Agreements with, any Loan Party or any Restricted Subsidiary of a Loan Party shall deliver to the Administrative Agent, promptly after entering into such Banking Services or Swap Agreements, written notice setting forth the aggregate amount of all Banking Services Obligations and Swap Agreement Obligations of such Loan Party or Restricted Subsidiary thereof to such Lender or Affiliate (whether matured or unmatured, absolute or contingent). In furtherance of that requirement, each such Lender or Affiliate thereof shall furnish the Administrative Agent, from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 For the avoidance of doubt, so long as JPMorgan or its Affiliate is the Administrative Agent, neither JPMorgan nor any of its Affiliates providing Banking Services for, or having Swap Agreements with, any Loan Party or any Restricted Subsidiary of a Loan Party shall be required to provide any notice described in this Section 2.22 in respect of such Banking Services or Swap Agreements.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Loan Party represents and warrants to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Powers</w:t>
      </w:r>
      <w:r>
        <w:rPr>
          <w:rFonts w:ascii="Times New Roman" w:hAnsi="Times New Roman"/>
          <w:sz w:val="20"/>
        </w:rPr>
        <w:t xml:space="preserve">. Each Loan Party and each Restricted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Authorization; Enforceability</w:t>
      </w:r>
      <w:r>
        <w:rPr>
          <w:rFonts w:ascii="Times New Roman" w:hAnsi="Times New Roman"/>
          <w:sz w:val="20"/>
        </w:rPr>
        <w:t xml:space="preserve">.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Governmental Approvals; No Conflicts</w:t>
      </w:r>
      <w:r>
        <w:rPr>
          <w:rFonts w:ascii="Times New Roman" w:hAnsi="Times New Roman"/>
          <w:sz w:val="20"/>
        </w:rPr>
        <w:t xml:space="preserve">. The Transactions (a) do not require any consent or approval of, registration or filing with, or any other action by, any Governmental Authority, except such as have been obtained or made and are in full force and effect, for filings necessary to perfect Liens created pursuant to the Loan Documents and as could not reasonably be expected to result in a Material Adverse Effect, (b) will not violate any Requirement of Law applicable to any Loan Party or any Restricted Subsidiary, (c) will not violate or result in a default under any indenture, agreement or other instrument binding upon any Loan Party or any Restricted Subsidiary or the assets of any Loan Party or any Restricted Subsidiary, or give rise to a right thereunder to require any payment to be made by any Loan Party or any Restricted Subsidiary, in each case for this clause (c), except to the extent any such violation or default could not reasonably be expected to result in a Material Adverse Effect and (d) will not result in the creation or imposition of, or other requirement to create, any Lien on any asset material to the operation of the business of any Loan Party or any Restricted Subsidiary, taken as a whole, except Liens created pursuant to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Financial Condition; No Material Adverse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Representative has heretofore furnished to the Lenders its consolidated balance sheet and statements of income, stockholders equity and cash flows (i) as of and for the fiscal year ended December 31, 2024, reported on by Grant Thornton, LLP, independent public accountants and (ii) as of and for the fiscal quarter and the portion of the fiscal year ended September 30, 2025, certified by its chief financial officer. Such financial statements present fairly, in all material respects, the financial position and results of operations and cash flows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as of such dates and for such periods in accordance with GAAP, subject to normal year-end audit adjustments and the absence of footnotes in the case of the statements referred to in clause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event, change or condition has occurred that has had, or could reasonably be expected to have, a Material Adverse Effect, since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Properties,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of this Agreement, </w:t>
      </w:r>
      <w:r>
        <w:rPr>
          <w:rFonts w:ascii="Times New Roman" w:hAnsi="Times New Roman"/>
          <w:sz w:val="20"/>
          <w:u w:val="single"/>
        </w:rPr>
        <w:t>Schedule 3.05</w:t>
      </w:r>
      <w:r>
        <w:rPr>
          <w:rFonts w:ascii="Times New Roman" w:hAnsi="Times New Roman"/>
          <w:sz w:val="20"/>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except, in each case, where such invalidity, unenforceability, ineffectiveness or default, as applicable, individually or in the aggregate, could not reasonably be expected to result in a Material Adverse Effect. Each of the Loan Parties and each Restricted Subsidiary has good and indefeasible title to, or valid leasehold interests in, all of its real and personal property, free of all Liens other than those permitted by Section 6.02 and minor defects of title that do not interfere with its business as currently conducted or the ability to utilize such properties for their intended purposes. </w:t>
      </w:r>
    </w:p>
    <w:p>
      <w:pPr>
        <w:pStyle w:val="TextBody"/>
        <w:bidi w:val="0"/>
        <w:spacing w:before="120" w:after="0"/>
        <w:jc w:val="left"/>
        <w:rPr>
          <w:rFonts w:ascii="Times New Roman" w:hAnsi="Times New Roman"/>
          <w:sz w:val="20"/>
        </w:rPr>
      </w:pPr>
      <w:r>
        <w:rPr>
          <w:rFonts w:ascii="Times New Roman" w:hAnsi="Times New Roman"/>
          <w:sz w:val="20"/>
        </w:rPr>
        <w:t xml:space="preserve">(b) Each Loan Party and each Restricted Subsidiary owns, or is licensed to use, all trademarks, tradenames, copyrights, patents and other intellectual property necessary to its business as currently conducted, except for such trademarks, tradenames, copyrights, patents and other intellectual property the loss of which, individually or in the aggregate, could not reasonably be expected to result in a Material Adverse Effect. A correct and complete list of the registered trademarks, patents and copyrights, as of the date of this Agreement, that are owned by any Loan Party is set forth on </w:t>
      </w:r>
      <w:r>
        <w:rPr>
          <w:rFonts w:ascii="Times New Roman" w:hAnsi="Times New Roman"/>
          <w:sz w:val="20"/>
          <w:u w:val="single"/>
        </w:rPr>
        <w:t>Schedule 3.05</w:t>
      </w:r>
      <w:r>
        <w:rPr>
          <w:rFonts w:ascii="Times New Roman" w:hAnsi="Times New Roman"/>
          <w:sz w:val="20"/>
        </w:rPr>
        <w:t xml:space="preserve">, and the use thereof by each Loan Party and each Restricted Subsidiary does not infringe in any material respect upon the rights of any other Person, and each Loan Party’s and each Restricted Subsidiary’s rights thereto are not subject to any licensing agreement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Litigation and Environmental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for the Disclosed Matters, there are no actions, suits or proceedings by or before any arbitrator or Governmental Authority pending against or, to the knowledge of any Loan Party, threatened against or affecting any Loan Party or any Restricted Subsidiary (i) as to which there is a reasonable possibility of an adverse determination and that, if adversely determined, could reasonably be expected, individually or in the aggregate, to result in a Material Adverse Effect or (ii) that involve any Loan Document 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(i) Except for the Disclosed Matters, no Loan Party or any Restricted Subsidiary has received written notice of any claim with respect to any material Environmental Liability and (ii) and except with respect to any other matters that, individually or in the aggregate, could not reasonably be expected to result in a Material Adverse Effect, no Loan Party or any Restricted Subsidiary (A) has failed to comply with any Environmental Law or to obtain, maintain or comply with any permit, license or other approval required under any Environmental Law, (B) has become subject to any Environmental Liability, or (C) has received notice of any claim with respect to any Environmental Liability. </w:t>
      </w:r>
    </w:p>
    <w:p>
      <w:pPr>
        <w:pStyle w:val="TextBody"/>
        <w:bidi w:val="0"/>
        <w:spacing w:before="120" w:after="0"/>
        <w:jc w:val="left"/>
        <w:rPr>
          <w:rFonts w:ascii="Times New Roman" w:hAnsi="Times New Roman"/>
          <w:sz w:val="20"/>
        </w:rPr>
      </w:pPr>
      <w:r>
        <w:rPr>
          <w:rFonts w:ascii="Times New Roman" w:hAnsi="Times New Roman"/>
          <w:sz w:val="20"/>
        </w:rPr>
        <w:t xml:space="preserve">(c) Since the date of this Agreement, there has been no change in the status of the Disclosed Matters that, individually or in the aggregate, has resulted in, or materially increased the likelihood of,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Compliance with Laws and Agreements; No Default</w:t>
      </w:r>
      <w:r>
        <w:rPr>
          <w:rFonts w:ascii="Times New Roman" w:hAnsi="Times New Roman"/>
          <w:sz w:val="20"/>
        </w:rPr>
        <w:t xml:space="preserve">. Except where the failure to do so, individually or in the aggregate, could not reasonably be expected to result in a Material Adverse Effect, each Loan Party and each Restricted Subsidiary is in compliance with (i) all Requirement of Law applicable to it or its property and (ii) all indentures, agreements and other instruments binding upon it or its property. No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Investment Company Status</w:t>
      </w:r>
      <w:r>
        <w:rPr>
          <w:rFonts w:ascii="Times New Roman" w:hAnsi="Times New Roman"/>
          <w:sz w:val="20"/>
        </w:rPr>
        <w:t xml:space="preserve">. No Loan Party or any Subsidiary is an “investment company” as defined in, or subject to regulation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Taxes</w:t>
      </w:r>
      <w:r>
        <w:rPr>
          <w:rFonts w:ascii="Times New Roman" w:hAnsi="Times New Roman"/>
          <w:sz w:val="20"/>
        </w:rPr>
        <w:t xml:space="preserve">. Each Loan Party and each Restricted Subsidiary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Restricted Subsidiary, as applicable, has set aside on its books adequate reserves or (b) to the extent that the failure to do so could not be expected to result in a Material Adverse Effect. No tax liens have been filed and no claims are being asserted with respect to any such taxes, except such tax liens or claims that,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ERISA</w:t>
      </w:r>
      <w:r>
        <w:rPr>
          <w:rFonts w:ascii="Times New Roman" w:hAnsi="Times New Roman"/>
          <w:sz w:val="20"/>
        </w:rPr>
        <w:t xml:space="preserve">. (a)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w:t>
      </w:r>
    </w:p>
    <w:p>
      <w:pPr>
        <w:pStyle w:val="TextBody"/>
        <w:bidi w:val="0"/>
        <w:spacing w:before="120" w:after="0"/>
        <w:jc w:val="left"/>
        <w:rPr>
          <w:rFonts w:ascii="Times New Roman" w:hAnsi="Times New Roman"/>
          <w:sz w:val="20"/>
        </w:rPr>
      </w:pPr>
      <w:r>
        <w:rPr>
          <w:rFonts w:ascii="Times New Roman" w:hAnsi="Times New Roman"/>
          <w:sz w:val="20"/>
        </w:rPr>
        <w:t xml:space="preserve">(b) As of the Effective Date, none of the Canadian Pension Plans are Canadian Defined Benefit Pension Plans. </w:t>
      </w:r>
      <w:r>
        <w:rPr>
          <w:rFonts w:ascii="Times New Roman" w:hAnsi="Times New Roman"/>
          <w:sz w:val="20"/>
          <w:u w:val="single"/>
        </w:rPr>
        <w:t>Schedule 3.10(b)</w:t>
      </w:r>
      <w:r>
        <w:rPr>
          <w:rFonts w:ascii="Times New Roman" w:hAnsi="Times New Roman"/>
          <w:sz w:val="20"/>
        </w:rPr>
        <w:t xml:space="preserve"> lists all Canadian Pension Plans. Except as could not reasonably be expected to have a Material Adverse Effect: (i) the Canadian Pension Plans are duly registered under the ITA and all other laws which require registration and no event has occurred which is reasonably likely to cause the loss of such registered status, (ii) the Canadian Pension Plans have been administered and invested in compliance with their terms and requirements of law and there have been no improper withdrawals or applications of the assets of the Canadian Pension Plans, (iii) there are no outstanding disputes concerning the assets of the Canadian Pension Plans, (iv) no promises of benefit improvements under the Canadian Pension Plans (other than a Canadian Defined Benefit Plan) have been made and there are no taxes, penalties or interest owing in respect of any Canadian Pension Plan, and (v) all payments, contributions required to be made by any Loan Party to or in respect of any Canadian Pension Plan have been made on a timely basis in accordance with the current terms of such plans and all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Disclosure</w:t>
      </w:r>
      <w:r>
        <w:rPr>
          <w:rFonts w:ascii="Times New Roman" w:hAnsi="Times New Roman"/>
          <w:sz w:val="20"/>
        </w:rPr>
        <w:t xml:space="preserve">. (a) As of the date hereof, the Loan Parties have disclosed to the Lenders all agreements, instruments and corporate or other restrictions to which any Loan Party or any Restricted Subsidiary is subject, and all other matters known to it, that, individually or in the aggregate, could reasonably be expected to result in a Material Adverse Effect. None of the reports, financial statements, certificates or other written information (taken as a whole) furnished by or on behalf of any Loan Party or any Restricted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materially misleading (after giving effect to all supplements and updates from time to time); provided that, with respect to projected financial information, estimates, forecasts and other forward-looking information, the Loan Parties represent only that such information was prepared in good faith based upon assumptions believed to be reasonable at the time delivered and, if such projected financial information was delivered prior to the Effective Date, as of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As of the Effective Date, to the best knowledge of each Borrower, the information included in the Beneficial Ownership Certification provided on or prior to the Effective Date to any Lender in connection with this Agreement is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Solvency</w:t>
      </w:r>
      <w:r>
        <w:rPr>
          <w:rFonts w:ascii="Times New Roman" w:hAnsi="Times New Roman"/>
          <w:sz w:val="20"/>
        </w:rPr>
        <w:t xml:space="preserve">. (a) Immediately after the consummation of the Transactions to occur on the Effective Date and immediately after the making of each Loan and each issuance of a Letter of Credit hereunder,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taken as a whole; (iii) the Loan Parties, taken as a whole, will be able to pay their debts and liabilities, subordinated, contingent or otherwise, as such debts and liabilities become absolute and matured; (iv) the Loan Parties will not have unreasonably small capital with which to conduct the business in which they are engaged as such business is now conducted and is proposed to be conducted after the Effective Date; and (v) with respect to any Canadian Loan Party, each such Canadian Loan Party is a Person who is not an Insolvent Person (as defined in the </w:t>
      </w:r>
      <w:r>
        <w:rPr>
          <w:rFonts w:ascii="Times New Roman" w:hAnsi="Times New Roman"/>
          <w:i/>
          <w:sz w:val="20"/>
        </w:rPr>
        <w:t>Bankruptcy and Insolvency Act</w:t>
      </w:r>
      <w:r>
        <w:rPr>
          <w:rFonts w:ascii="Times New Roman" w:hAnsi="Times New Roman"/>
          <w:sz w:val="20"/>
        </w:rPr>
        <w:t xml:space="preserve"> (Canada). </w:t>
      </w:r>
    </w:p>
    <w:p>
      <w:pPr>
        <w:pStyle w:val="TextBody"/>
        <w:bidi w:val="0"/>
        <w:spacing w:before="120" w:after="0"/>
        <w:jc w:val="left"/>
        <w:rPr>
          <w:rFonts w:ascii="Times New Roman" w:hAnsi="Times New Roman"/>
          <w:sz w:val="20"/>
        </w:rPr>
      </w:pPr>
      <w:r>
        <w:rPr>
          <w:rFonts w:ascii="Times New Roman" w:hAnsi="Times New Roman"/>
          <w:sz w:val="20"/>
        </w:rPr>
        <w:t xml:space="preserve">(b) No Loan Party intends to, and no Loan Party believes that it or any Restricted Subsidiary will, incur debts beyond its ability to pay such debts as they mature, taking into account the timing of and amounts of cash to be received by it or any such Restricted Subsidiary and the timing of the amounts of cash to be payable on or in respect of its Indebtedness or the Indebtedness of any such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Insurance</w:t>
      </w:r>
      <w:r>
        <w:rPr>
          <w:rFonts w:ascii="Times New Roman" w:hAnsi="Times New Roman"/>
          <w:sz w:val="20"/>
        </w:rPr>
        <w:t xml:space="preserve">. Schedule 3.13 sets forth a description of all insurance maintained by or on behalf of the Loan Parties and their Restricted Subsidiaries as of the Effective Date. As of the Effective Date, all premiums in respect of such insurance that are due and owing have been paid. The Loan Parties believe that the insurance maintained by or on behalf of the Loan Parties and their Restricted Subsidiaries is adequate and is customary for companies engaged in the same or similar businesses operating in the same or similar locations and of the same or similar size.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Capitalization and Subsidiaries</w:t>
      </w:r>
      <w:r>
        <w:rPr>
          <w:rFonts w:ascii="Times New Roman" w:hAnsi="Times New Roman"/>
          <w:sz w:val="20"/>
        </w:rPr>
        <w:t xml:space="preserve">. As of the Effective Date, Schedule 3.14 sets forth (a) a correct and complete list of the name and relationship to the Borrowers of each Subsidiary, (b) a true and complete listing of each class of each Borrower’s authorized Equity Interests, of which all of such issued Equity Interests are validly issued, outstanding, fully paid and non-assessable, and owned beneficially and of record by the Persons identified on Schedule 3.14, (c) the type of entity of each Borrower and each Subsidiary, and (d) whether such Subsidiary is a Loan Party, a Material Subsidiary, a Restricted Subsidiary or an Unrestricted Subsidiary. All of the issued and outstanding Equity Interests owned by any Loan Party have been (to the extent such concepts are relevant with respect to such ownership interests) duly authorized and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Security Interest in Collateral</w:t>
      </w:r>
      <w:r>
        <w:rPr>
          <w:rFonts w:ascii="Times New Roman" w:hAnsi="Times New Roman"/>
          <w:sz w:val="20"/>
        </w:rPr>
        <w:t xml:space="preserve">. The provisions of this Agreement and the other Loan Documents create legal and valid Liens on all the Collateral in favor of the Administrative Agent, for the benefit of the Secured Parties, and such Liens constitute perfected and continuing Liens on the Collateral (provided that, with respect to the creation and perfection of security interests with respect to Indebtedness, if any, only to the extent the creation and perfection of such obligations is governed by the UCC or the PPSA), and, upon the making of such filings and taking of such other actions required to be taken hereby or by the applicable Loan Documents (including the filing of appropriate UCC financing statements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office of the Secretary of State of the state of organization of each Loan Party, including the filing of appropriate PPSA financing statements with the appropriate offices in applicable jurisdictions of each Loan Party, and the filing of appropriate notices with the U.S. Patent and Trademark Office, the U.S. Copyright Office and the Canadian Intellectual Property Office, in each case in favor of the Administrative Agent for the benefit of the Secured Parties, and the delivery to the Administrative Agent of any stock or equivalent certificates or promissory notes required to be delivered pursuant to the applicable Loan Documents),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Employment Matters</w:t>
      </w:r>
      <w:r>
        <w:rPr>
          <w:rFonts w:ascii="Times New Roman" w:hAnsi="Times New Roman"/>
          <w:sz w:val="20"/>
        </w:rPr>
        <w:t xml:space="preserve">. As of the Effective Date, there are no strikes, lockouts or slowdowns against any Loan Party or any Restricted Subsidiary pending or, to the knowledge of any Loan Party, threatened. The hours worked by and payments made to employees of the Loan Parties and their Restricted Subsidiaries have not been in violation of the Fair Labor Standards Act or any other applicable federal, state, local or foreign law dealing with such matters, except where such a violation, individually or in the aggregate, would not reasonably be expected to have a Material Adverse Effect. All payments due from any Loan Party or any Restricted Subsidiary, or for which any claim may be made against any Loan Party or any Restricted Subsidiary, on account of wages and employee health and welfare insurance and other benefits, have been paid or accrued as a liability on the books of such Loan Party or such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Margin Regulations</w:t>
      </w:r>
      <w:r>
        <w:rPr>
          <w:rFonts w:ascii="Times New Roman" w:hAnsi="Times New Roman"/>
          <w:sz w:val="20"/>
        </w:rPr>
        <w:t xml:space="preserve">.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in violation of the provisions of Regulation U or Regulation X. Following the application of the proceeds of each Borrowing or drawing under each Letter of Credit, not more than 25% of the value of the assets (either of any Loan Party only or of the Loan Parties and their Subsidiaries on a consolidated basis) will be Margin Stock. Neither the making of any Loan hereunder nor the use of proceeds thereof will violate the provisions of Regulation U or Regulation X.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Use of Proceeds</w:t>
      </w:r>
      <w:r>
        <w:rPr>
          <w:rFonts w:ascii="Times New Roman" w:hAnsi="Times New Roman"/>
          <w:sz w:val="20"/>
        </w:rPr>
        <w:t xml:space="preserve">. The proceeds of the Loans have been used and will be used, whether directly or indirectly as set forth in Section 5.08.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No Burdensome Restrictions</w:t>
      </w:r>
      <w:r>
        <w:rPr>
          <w:rFonts w:ascii="Times New Roman" w:hAnsi="Times New Roman"/>
          <w:sz w:val="20"/>
        </w:rPr>
        <w:t xml:space="preserve">. No Loan Party is subject to any Burdensome Restrictions except Burdensome Restrictions permitted under Section 6.10.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Anti-Corruption Laws and Sanctions</w:t>
      </w:r>
      <w:r>
        <w:rPr>
          <w:rFonts w:ascii="Times New Roman" w:hAnsi="Times New Roman"/>
          <w:sz w:val="20"/>
        </w:rPr>
        <w:t xml:space="preserve">. Each Loan Party has implemented and maintains in effect policies and procedures reasonably designed to promote compliance by such Loan Party, its Subsidiaries and their respective directors, officers, employees and agents acting on their behalf with Anti-Corruption Laws and applicable Sanctions, and such Loan Party, its Subsidiaries and their respective officers and directors and, to the knowledge of such Loan Party, its employees and agents acting on their behalf, are in compliance with Anti-Corruption Laws and applicable Sanctions in all material respects and are not knowingly engaged in any activity that would be expected to result in any Loan Party being designated as a Sanctioned Person. None of (a) any Loan Party, any Subsidiary, any of their respective directors or officers or, to the knowledge of any such Loan Party or Subsidiary, employees, or (b) to the knowledge of any such Loan Party or Subsidiary, any agent acting on behalf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Affected Financial Institutions</w:t>
      </w:r>
      <w:r>
        <w:rPr>
          <w:rFonts w:ascii="Times New Roman" w:hAnsi="Times New Roman"/>
          <w:sz w:val="20"/>
        </w:rPr>
        <w:t xml:space="preserve">. No Loan Party is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Plan Assets; Prohibited Transactions</w:t>
      </w:r>
      <w:r>
        <w:rPr>
          <w:rFonts w:ascii="Times New Roman" w:hAnsi="Times New Roman"/>
          <w:sz w:val="20"/>
        </w:rPr>
        <w:t xml:space="preserve">. None of the Loan Parties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 </w:t>
      </w:r>
    </w:p>
    <w:p>
      <w:pPr>
        <w:pStyle w:val="TextBody"/>
        <w:bidi w:val="0"/>
        <w:spacing w:before="24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Effective Date</w:t>
      </w:r>
      <w:r>
        <w:rPr>
          <w:rFonts w:ascii="Times New Roman" w:hAnsi="Times New Roman"/>
          <w:sz w:val="20"/>
        </w:rPr>
        <w:t xml:space="preserve">. The obligations of the Lenders to make Loans and of the Issuing Bank to issue Letters of Credit hereunder shall not become effective until the date on which each of the following conditions is satisfied (or waived in accordance with Section 9.02):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 and Loan Documents</w:t>
      </w:r>
      <w:r>
        <w:rPr>
          <w:rFonts w:ascii="Times New Roman" w:hAnsi="Times New Roman"/>
          <w:sz w:val="20"/>
        </w:rPr>
        <w:t xml:space="preserve">. The Administrative Agent (or its counsel) shall have received (i)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 and (ii) duly executed copies of the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written opinions of the Loan Parties’ U.S. and Canadian counsels, addressed to the Administrative Agent, the Issuing Bank and the Lenders, all in form and substance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Corporate Certificates; Certified Certificate of Incorporation; Good Standing Certificates</w:t>
      </w:r>
      <w:r>
        <w:rPr>
          <w:rFonts w:ascii="Times New Roman" w:hAnsi="Times New Roman"/>
          <w:sz w:val="20"/>
        </w:rPr>
        <w:t xml:space="preserve">. The Administrative Agent shall have received (i) a certificate of each Loan Party, dated the Effective Date and executed by its Secretary or Assistant Secretary, which shall (A) certify the resolutions of its Board of Directors, members or other governing body authorizing the execution, delivery and performance of the Loan Documents to which it is a party, (B) identify by name and title and bear the signatures of the officers of such Loan Party authorized to sign the Loan Documents to which it is a party and, in the case of a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Certificate</w:t>
      </w:r>
      <w:r>
        <w:rPr>
          <w:rFonts w:ascii="Times New Roman" w:hAnsi="Times New Roman"/>
          <w:sz w:val="20"/>
        </w:rPr>
        <w:t xml:space="preserve">. The Administrative Agent shall have received a certificate, signed by a Financial Officer of each Borrower, dated as of the Effective Date (i) stating that no Default has occurred and is continuing as of such date and (ii) stating that the representations and warranties contained in the Loan Documents are true and correct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Fees and Other Amounts</w:t>
      </w:r>
      <w:r>
        <w:rPr>
          <w:rFonts w:ascii="Times New Roman" w:hAnsi="Times New Roman"/>
          <w:sz w:val="20"/>
        </w:rPr>
        <w:t xml:space="preserve">. The Lenders and the Administrative Agent shall have received (i) all fees required to be paid, and all expenses required to be reimbursed for which invoices have been presented (including the reasonable fees and expenses of legal counsel) at least two (2) Business Days before the Effective Date and (ii) for the account of such applicable Persons, payment of all accrued and unpaid interest and fees outstanding immediately prior to the effectiveness of this Agreement and owing to the Administrative Agent and the “Lenders” under the Existing Credit Agreement. All such amounts will be paid with proceeds of Loans made on the Effective Date and will be reflected in the funding instructions given by the Borrower Representative to the Administrative Agent on or before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Lien and IP Searches</w:t>
      </w:r>
      <w:r>
        <w:rPr>
          <w:rFonts w:ascii="Times New Roman" w:hAnsi="Times New Roman"/>
          <w:sz w:val="20"/>
        </w:rPr>
        <w:t xml:space="preserve">. The Administrative Agent shall have received the results of a recent lien search in the jurisdiction of organization of each Loan Party and each jurisdiction where assets of the Loan Parties are located, and the results of search reports in respect of the intellectual property of the Loan Parties, and such searches shall reveal no Liens on any of the assets of the Loan Parties except for liens permitted by Section 6.02 or discharged on or prior to the Effective Date pursuant to a payoff letter or other documentation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Funding Account</w:t>
      </w:r>
      <w:r>
        <w:rPr>
          <w:rFonts w:ascii="Times New Roman" w:hAnsi="Times New Roman"/>
          <w:sz w:val="20"/>
        </w:rPr>
        <w:t xml:space="preserve">. The Administrative Agent shall have received a notice (which notice shall be in the form of a Borrowing Request or such other form or method as approved by the Administrative Agent) setting forth the deposit account of the Borrowers (as may be updated from time to time by written notice from the Borrower Representative to the Administrative Agent, the “Funding Account”) to which the Administrative Agent is authorized by the Borrower Representative to transfer the proceeds of any Borrowings requested or authorized pursuant to this Agreement and which, in the case of a Borrowing Request, shall be delivered in accordance with Section 2.03, together with a customary funding indemnification letter to the extent any such Loan will be a Term Benchmark Loan.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Solvency</w:t>
      </w:r>
      <w:r>
        <w:rPr>
          <w:rFonts w:ascii="Times New Roman" w:hAnsi="Times New Roman"/>
          <w:sz w:val="20"/>
        </w:rPr>
        <w:t xml:space="preserve">. The Administrative Agent shall have received a solvency certificate signed by a Financial Officer of the Borrower Representative dated the Effective Date in form and substance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Pledged Equity Interests; Stock Powers; Pledged Notes</w:t>
      </w:r>
      <w:r>
        <w:rPr>
          <w:rFonts w:ascii="Times New Roman" w:hAnsi="Times New Roman"/>
          <w:sz w:val="20"/>
        </w:rPr>
        <w:t xml:space="preserve">. The Administrative Agent shall have received (i) the certificates representing the Equity Interests pledged pursuant to the Security Agreements, together with an undated stock power for each such certificate executed in blank by a duly authorized officer of the pledgor thereof and (ii) each promissory note and other instrument or possessory collateral (if any) pledged to the Administrative Agent pursuant to the Security Agreements endorsed (without recourse) in blank (or accompanied by an executed transfer form in blank) by the pledgor thereof or accompanied by allonges or other acknowledgements signed in blank,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Filings, Registrations and Recordings</w:t>
      </w:r>
      <w:r>
        <w:rPr>
          <w:rFonts w:ascii="Times New Roman" w:hAnsi="Times New Roman"/>
          <w:sz w:val="20"/>
        </w:rPr>
        <w:t xml:space="preserve">. Each document (including any Uniform Commercial Code financing statement, PPSA financing statements and federal intellectual property filings)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shall be in proper form for filing, registration or recordation;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Insurance</w:t>
      </w:r>
      <w:r>
        <w:rPr>
          <w:rFonts w:ascii="Times New Roman" w:hAnsi="Times New Roman"/>
          <w:sz w:val="20"/>
        </w:rPr>
        <w:t xml:space="preserve">. The Administrative Agent shall have received evidence of insurance coverage in form, scope, and substance reasonably satisfactory to the Administrative Agent and otherwise in compliance with the terms of Section 5.10 of this Agreement and of the applicable Security Agreements.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Letter of Credit Application</w:t>
      </w:r>
      <w:r>
        <w:rPr>
          <w:rFonts w:ascii="Times New Roman" w:hAnsi="Times New Roman"/>
          <w:sz w:val="20"/>
        </w:rPr>
        <w:t xml:space="preserve">. The Administrative Agent shall have received a properly completed letter of credit application (whether standalone or pursuant to a master agreement, as applicable) if the issuance of a Letter of Credit will be required on the Effective Date. The Borrowers shall have executed the Issuing Bank’s master agreement for the issuance of commercial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Legal Due Diligence</w:t>
      </w:r>
      <w:r>
        <w:rPr>
          <w:rFonts w:ascii="Times New Roman" w:hAnsi="Times New Roman"/>
          <w:sz w:val="20"/>
        </w:rPr>
        <w:t xml:space="preserve">. The Administrative Agent and its counsel shall have completed all legal due diligence, the results of which shall be satisfactory to Administrative Agent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Financial Statements and Projections</w:t>
      </w:r>
      <w:r>
        <w:rPr>
          <w:rFonts w:ascii="Times New Roman" w:hAnsi="Times New Roman"/>
          <w:sz w:val="20"/>
        </w:rPr>
        <w:t xml:space="preserve">: The Lenders shall have received (i) audited consolidated balance sheets and related consolidated statements of income, stockholders’ equity and cash flows of the Company for the fiscal year ended December 31, 2024, prepared on a consolidated basis in accordance with GAAP consistently applied, (ii) unaudited consolidated balance sheets and related consolidated statements of income, stockholders’ equity and cash flows of the Company for the fiscal quarter ended September 30, 2025, prepared on a consolidated basis in accordance with GAAP consistently applied, subject to normal year-end audit adjustments and the absence of footnotes, (iii) the Company’s projected income statement, balance sheet and cash flows through 2030 (inclusive of a detailed description of the assumptions used in preparing such projections) and (iv) a pro forma consolidated balance sheet and related pro forma consolidated statement of income of the Company and its subsidiaries as of and for the 12-month period ending on September 30, 2025, each in a form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USA PATRIOT Act, Etc</w:t>
      </w:r>
      <w:r>
        <w:rPr>
          <w:rFonts w:ascii="Times New Roman" w:hAnsi="Times New Roman"/>
          <w:sz w:val="20"/>
        </w:rPr>
        <w:t xml:space="preserve">. (i) The Administrative Agent and the Lenders shall have received, (x) at least five (5) days prior to the Effective Date, all documentation and other information regarding the Loan Parties requested in connection with applicable “know your customer” and anti-money laundering rules and regulations, including the USA PATRIOT Act, to the extent requested in writing of the Borrowers at least ten (10) days prior to the Effective Date, and (y) a properly completed and signed IRS Form W-8 or W-9, as applicable, for each Loan Party, and (ii) to the extent the Borrowers qualify as a “legal entity customer” under the Beneficial Ownership Regulation, at least five (5) days prior to the Effective Date, any Lender that has requested, in a written notice to the Borrowers at least the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clause (ii) shall be deemed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Other Documents</w:t>
      </w:r>
      <w:r>
        <w:rPr>
          <w:rFonts w:ascii="Times New Roman" w:hAnsi="Times New Roman"/>
          <w:sz w:val="20"/>
        </w:rPr>
        <w:t xml:space="preserve">. The Administrative Agent shall have received such other documents as the Administrative Agent, the Issuing Bank, any Lender or their respective counsel may have reasonably requested.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Borrowers, the Lenders and the Issuing Bank of the Effective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Each Credit Event</w:t>
      </w:r>
      <w:r>
        <w:rPr>
          <w:rFonts w:ascii="Times New Roman" w:hAnsi="Times New Roman"/>
          <w:sz w:val="20"/>
        </w:rPr>
        <w:t xml:space="preserve">. </w:t>
      </w:r>
      <w:r>
        <w:rPr>
          <w:rFonts w:ascii="Times New Roman" w:hAnsi="Times New Roman"/>
          <w:strike/>
          <w:color w:val="FF0000"/>
          <w:sz w:val="20"/>
        </w:rPr>
        <w:t>The</w:t>
      </w:r>
      <w:r>
        <w:rPr>
          <w:rFonts w:ascii="Times New Roman" w:hAnsi="Times New Roman"/>
          <w:color w:val="0000FF"/>
          <w:sz w:val="20"/>
          <w:u w:val="single"/>
          <w:bdr w:val="double" w:sz="2" w:space="1" w:color="000000"/>
        </w:rPr>
        <w:t>Subject to Section 4.03 below, the</w:t>
      </w:r>
      <w:r>
        <w:rPr>
          <w:rFonts w:ascii="Times New Roman" w:hAnsi="Times New Roman"/>
          <w:sz w:val="20"/>
        </w:rPr>
        <w:t xml:space="preserve"> obligation of each Lender to make a Loan on the occasion of any Borrowing, and of the Issuing Bank to issue, amend, renew or extend any Letter of Credit, is subject to the satisfaction of the following conditions</w:t>
      </w:r>
      <w:r>
        <w:rPr>
          <w:rFonts w:ascii="Times New Roman" w:hAnsi="Times New Roman"/>
          <w:color w:val="0000FF"/>
          <w:sz w:val="20"/>
          <w:u w:val="single"/>
          <w:bdr w:val="double" w:sz="2" w:space="1" w:color="000000"/>
        </w:rPr>
        <w:t xml:space="preserve"> (subject to Section 1.06(d))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the Loan Parties set forth in the Loan Documents shall be true and correct in all material respects (or in all respects in the case of any representation or warranty qualified by materiality or Material Adverse Effect)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(or in all respects in the case of any representation or warranty qualified by materiality or Material Adverse Effect) only as of such specified date, and that any representation or warranty which is subject to any materiality qualifier shall be required to be true and correct in all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applicable, no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and each issuance, amendment, renewal or extension of a Letter of Credit </w:t>
      </w:r>
      <w:r>
        <w:rPr>
          <w:rFonts w:ascii="Times New Roman" w:hAnsi="Times New Roman"/>
          <w:color w:val="0000FF"/>
          <w:sz w:val="20"/>
          <w:u w:val="single"/>
          <w:bdr w:val="double" w:sz="2" w:space="1" w:color="000000"/>
        </w:rPr>
        <w:t xml:space="preserve">under this Section 4.02 </w:t>
      </w:r>
      <w:r>
        <w:rPr>
          <w:rFonts w:ascii="Times New Roman" w:hAnsi="Times New Roman"/>
          <w:sz w:val="20"/>
        </w:rPr>
        <w:t xml:space="preserve">shall be deemed to constitute a representation and warranty by the Borrowers on the date thereof as to the matters specified in paragraphs (a) and (b)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failure to satisfy the conditions precedent set forth in paragraphs (a) or (b) of this Section, unless otherwise directed by the Required Lenders, on the fifth (5th) Business Day (or any shorter period agreed to by the Required Lenders) after the date notice is provided to the Lenders (so long as the Administrative Agent has not received, by such time, written notice of objection from Lenders comprising the Required Lenders), the Administrative Agent may, but shall have no obligation to, continue to make Loans and an Issuing Bank may, but shall have no obligation to, issue, amend, renew or extend, or cause to be issued, amended, renewed or extended, any Letter of Credit for the ratable account and risk of Lenders from time to time if the Administrative Agent believes that making such Loans or issuing, amending, renewing or extending, or causing the issuance, amendment, renewal or extension of, any such Letter of Credit is in the best interests of the Lenders.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SECTION 4.03 Take-Private Transaction. With respect to any Borrowing of Revolving Loans in order to fund a portion of the purchase price of the Take-Private Transaction, the obligation of each Lender to make a Revolving Loan on the occasion of such Borrowing, is subject to the following conditions: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 At the time of and immediately after giving effect to such Borrowing, no Event of Default under Sections 7.01(a), (b), (h) or (i) shall have occurred and be continuing.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The Specified Representations and the Specified Take-Private Transaction Merger Agreement Representations shall be true and correct in all material respects (or in all respects in the case of any representation or warranty qualified by materiality or Material Adverse Effect) with the same effect as though made on and as of the date of such Borrowing (it being understood and agreed that any representation or warranty which by its terms is made as of a specified date shall be required to be true and correct in all material respects (or in all respects in the case of any representation or warranty qualified by materiality or Material Adverse Effect) only as of such specified date, and that any representation or warranty which is subject to any materiality qualifier shall be required to be true and correct in all respects); provided that, solely for the purposes of this clause (b), any reference in any Specified Representation to the Transactions shall be deemed to be a reference to the Take-Private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The Effective Time shall occur and the Take-Private Transaction shall be consummated, each in accordance with the terms of the Take-Private Transaction Merger Agreement and substantially contemporaneously with such Borrowing, and the Certain Funds Period shall not have expired.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The Company has received, or, substantially contemporaneously with such Borrowing, will receive, proceeds from the Sponsor Equity Injection.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 The Administrative Agent shall have received a solvency certificate signed by a Financial Officer of the Borrower Representative dated the date of such Borrowing, substantially in the form set forth on Exhibit G to this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(f) The Lenders and the Administrative Agent shall have received all fees required to be paid, and all expenses required to be reimbursed for which invoices have been presented (including the reasonable fees and expenses of legal counsel) at least two (2) Business Days (or any lesser period of time agreed to by the Company) before the date of such Borrowing.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Any Borrowing under this Section 4.03 shall be deemed to constitute a representation and warranty by the Borrowers on the date thereof as to the matters specified ins Section 4.03(a) through (f).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anything to the contrary herein or in any other Loan Document, the sole conditions to the funding of any Loans or other extensions of credit in connection with the Take-Private Transaction are the conditions contained in this Section 4.03 (and, for the avoidance of doubt, the conditions in Sections 4.01 and 4.02 shall not apply to the funding of any such Loans or other extensions of credit); provided, that, for the avoidance of doubt, any Borrowing of Revolving Loans under this Section 4.03 shall be subject to 2.01(a).</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u w:val="single"/>
        </w:rPr>
        <w:t>Affirmative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of the Secured Obligations shall have been Paid in Full, each Loan Party executing this Agreement covenants and agrees, jointly and severally with all of the other Loan Parties,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and Other Information</w:t>
      </w:r>
      <w:r>
        <w:rPr>
          <w:rFonts w:ascii="Times New Roman" w:hAnsi="Times New Roman"/>
          <w:sz w:val="20"/>
        </w:rPr>
        <w:t xml:space="preserve">. The Borrowers will furnish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within ninety (90) days </w:t>
      </w:r>
      <w:r>
        <w:rPr>
          <w:rFonts w:ascii="Times New Roman" w:hAnsi="Times New Roman"/>
          <w:color w:val="0000FF"/>
          <w:sz w:val="20"/>
          <w:u w:val="single"/>
          <w:bdr w:val="double" w:sz="2" w:space="1" w:color="000000"/>
        </w:rPr>
        <w:t xml:space="preserve">(or, with respect to the first delivery required pursuant to this Section 5.01(a) following the consummation of the Take-Private Transaction, one hundred fifty (150) days) </w:t>
      </w:r>
      <w:r>
        <w:rPr>
          <w:rFonts w:ascii="Times New Roman" w:hAnsi="Times New Roman"/>
          <w:sz w:val="20"/>
        </w:rPr>
        <w:t xml:space="preserve">after the end of each fiscal year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if earlier, by the date that the Annual Report on Form 10-K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for such fiscal year would be required to be filed under the rules and regulations of the SEC, giving effect to any automatic extension available thereunder for the filing of such form) (commencing with the fiscal year ending December 31, 2025),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on a consolidated basis in accordance with GAAP consistently applied; </w:t>
      </w:r>
    </w:p>
    <w:p>
      <w:pPr>
        <w:pStyle w:val="TextBody"/>
        <w:bidi w:val="0"/>
        <w:spacing w:before="120" w:after="0"/>
        <w:jc w:val="left"/>
        <w:rPr>
          <w:rFonts w:ascii="Times New Roman" w:hAnsi="Times New Roman"/>
          <w:sz w:val="20"/>
        </w:rPr>
      </w:pPr>
      <w:r>
        <w:rPr>
          <w:rFonts w:ascii="Times New Roman" w:hAnsi="Times New Roman"/>
          <w:sz w:val="20"/>
        </w:rPr>
        <w:t xml:space="preserve">(b) within forty-five (45) days </w:t>
      </w:r>
      <w:r>
        <w:rPr>
          <w:rFonts w:ascii="Times New Roman" w:hAnsi="Times New Roman"/>
          <w:color w:val="0000FF"/>
          <w:sz w:val="20"/>
          <w:u w:val="single"/>
          <w:bdr w:val="double" w:sz="2" w:space="1" w:color="000000"/>
        </w:rPr>
        <w:t xml:space="preserve">(or, with respect to the first two deliveries required pursuant to this Section 5.01(b) following the consummation of the Take-Private Transaction, seventy-five (75) days) </w:t>
      </w:r>
      <w:r>
        <w:rPr>
          <w:rFonts w:ascii="Times New Roman" w:hAnsi="Times New Roman"/>
          <w:sz w:val="20"/>
        </w:rPr>
        <w:t xml:space="preserve">after the end of each of the first three fiscal quarters of each fiscal year of the Company (or, </w:t>
      </w:r>
      <w:r>
        <w:rPr>
          <w:rFonts w:ascii="Times New Roman" w:hAnsi="Times New Roman"/>
          <w:color w:val="0000FF"/>
          <w:sz w:val="20"/>
          <w:u w:val="single"/>
          <w:bdr w:val="double" w:sz="2" w:space="1" w:color="000000"/>
        </w:rPr>
        <w:t xml:space="preserve">after the consummation of the Take-Private Transaction, HoldCo) (or, </w:t>
      </w:r>
      <w:r>
        <w:rPr>
          <w:rFonts w:ascii="Times New Roman" w:hAnsi="Times New Roman"/>
          <w:sz w:val="20"/>
        </w:rPr>
        <w:t xml:space="preserve">if earlier, by the date that the Quarterly Report on Form 10-Q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for such fiscal quarter would be required to be filed under the rules and regulations of the SEC, giving effect to any automatic extension available thereunder for the filing of such form) (commencing with the fiscal quarter ending March 31, 2026),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on a consolidated basis in accordance with GAAP consistently applied, subject to normal year-end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concurrently with any delivery of financial statements under clause (a) or (b) above, a Compliance Certificate (i) certifying, in the case of the financial statements delivered under clause (b) above, as presenting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to the extent there were any Unrestricted Subsidiaries during the applicable reporting period, setting forth a list of each Subsidiary that identifies as a Restricted Subsidiary or an Unrestricted Subsidiary as of the date of delivery of such certificate (to the extent that there have been any changes in the identity or status as a Restricted Subsidiary or Unrestricted Subsidiary of any such Subsidiaries since the later of the Effective Date and the most recent list provided to the Administrative Agent); </w:t>
      </w:r>
    </w:p>
    <w:p>
      <w:pPr>
        <w:pStyle w:val="TextBody"/>
        <w:bidi w:val="0"/>
        <w:spacing w:before="120" w:after="0"/>
        <w:jc w:val="left"/>
        <w:rPr>
          <w:rFonts w:ascii="Times New Roman" w:hAnsi="Times New Roman"/>
          <w:sz w:val="20"/>
        </w:rPr>
      </w:pPr>
      <w:r>
        <w:rPr>
          <w:rFonts w:ascii="Times New Roman" w:hAnsi="Times New Roman"/>
          <w:sz w:val="20"/>
        </w:rPr>
        <w:t>(d) as soon as available, but in any event no later than forty-five (45) days following the end of each fiscal year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a copy of the plan (including a projected consolidated balance sheet, income statement and cash flow statement) of the Borrowers for each fiscal quarter of the upcoming fiscal year (the “</w:t>
      </w:r>
      <w:r>
        <w:rPr>
          <w:rFonts w:ascii="Times New Roman" w:hAnsi="Times New Roman"/>
          <w:sz w:val="20"/>
          <w:u w:val="single"/>
        </w:rPr>
        <w:t>Projections</w:t>
      </w:r>
      <w:r>
        <w:rPr>
          <w:rFonts w:ascii="Times New Roman" w:hAnsi="Times New Roman"/>
          <w:sz w:val="20"/>
        </w:rPr>
        <w:t xml:space="preserve">”) in form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 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to its shareholders generally,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(f) promptly after receipt thereof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(g) promptly following any request therefor, copies of any detailed audit reports, management letters or recommendations submitted to the board of directors (or the audit committee of the board of directors)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by independent accountants in connection with the accounts or books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Subsidiary, or any audit of any of them as the Administrative Agent or any Lender (through the Administrative Agent)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(h) promptly following any request therefor, (x) such other information regarding the operations, business affairs and financial condition of any Loan Party or any Subsidiary, or compliance with the terms of this Agreement, as the Administrative Agent or any Lender (through the Administrative Agent)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promptly after any request therefor by the Administrative Agent or any Lender, copies of (i) any documents described in Section 101(k)(1) of ERISA that the Borrowers or any ERISA Affiliate may request with respect to any Multiemployer Plan and (ii) any notices described in Section 101(l)(1) of ERISA that the Borrowers or any ERISA Affiliate may request with respect to any Multiemployer Plan; provided that if the Borrowers or any ERISA Affiliate has not requested such documents or notices from the administrator or sponsor of the applicable Multiemployer Plan, the Borrowers or the applicable ERISA Affiliate shall promptly make a request for such documents and notices from such administrator or sponsor and shall provide copies of such documents and notices promptly after receipt thereof; and </w:t>
      </w:r>
    </w:p>
    <w:p>
      <w:pPr>
        <w:pStyle w:val="TextBody"/>
        <w:bidi w:val="0"/>
        <w:spacing w:before="120" w:after="0"/>
        <w:jc w:val="left"/>
        <w:rPr>
          <w:rFonts w:ascii="Times New Roman" w:hAnsi="Times New Roman"/>
          <w:sz w:val="20"/>
        </w:rPr>
      </w:pPr>
      <w:r>
        <w:rPr>
          <w:rFonts w:ascii="Times New Roman" w:hAnsi="Times New Roman"/>
          <w:sz w:val="20"/>
        </w:rPr>
        <w:t xml:space="preserve">(j) concurrently with any delivery of financial statements under clause (a) or (b) above for any period, to the extent there were any Unrestricted Subsidiaries during such period,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deliver to the Administrative Agent (for distribution to each Lender) a balance sheet and related statements of operations, stockholders’ equity and cash flows as of the end of and for such fiscal year or fiscal quarter (and the then elapsed portion of such fiscal year), as the case may be, setting forth in comparative form the figures for the corresponding period or periods of (or, in the case of the balance sheet, as of the end of) the previous fiscal year, in each case, on a consolidating basis for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its consolidated Restricted Subsidiaries, all certified by a Financial Officer of the Company as presenting fairly in all material respects the financial condition and results of operations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consolidated Restricted Subsidiaries on a consolidating basis in accordance with GAAP consistently applied, subject, in the case of financial statements for any fiscal quarter only,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Section 5.01(a), (b) or (e)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facsimile or through any Electronic System) of the posting of any such documents and provide to the Administrative Agent through any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Borrowers with any such request by a Lender for delivery, and each Lender shall be solely responsible for timely accessing posted documents or requesting delivery of paper copies of such document to it and maintaining its copies of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Notices of Material Events</w:t>
      </w:r>
      <w:r>
        <w:rPr>
          <w:rFonts w:ascii="Times New Roman" w:hAnsi="Times New Roman"/>
          <w:sz w:val="20"/>
        </w:rPr>
        <w:t xml:space="preserve">. Each of the Borrowers will furnish to the Administrative Agent and each Lender prompt (but in any event within any time period that may be specified below) written notice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w:t>
      </w:r>
    </w:p>
    <w:p>
      <w:pPr>
        <w:pStyle w:val="TextBody"/>
        <w:bidi w:val="0"/>
        <w:spacing w:before="120" w:after="0"/>
        <w:jc w:val="left"/>
        <w:rPr>
          <w:rFonts w:ascii="Times New Roman" w:hAnsi="Times New Roman"/>
          <w:sz w:val="20"/>
        </w:rPr>
      </w:pPr>
      <w:r>
        <w:rPr>
          <w:rFonts w:ascii="Times New Roman" w:hAnsi="Times New Roman"/>
          <w:sz w:val="20"/>
        </w:rPr>
        <w:t xml:space="preserve">(b) receipt of any notice of any investigation by a Governmental Authority or any litigation or proceeding commenced or threatened against any Loan Party or any Restricted Subsidiary that (i) seeks, and there is a reasonable expectation that it will result in, damages in excess of $10,000,000, (ii) seeks injunctive relief with respect to material assets or business, (iii) is asserted or instituted against any Plan, its fiduciaries or its assets, (iv) alleges material criminal misconduct by any Loan Party or any Restricted Subsidiary, (v) alleges the material violation of, or seeks to impose remedies under, any Environmental Law or related Requirement of Law, or seeks to impose material Environmental Liability, (vi) asserts liability on the part of any Loan Party or any Restricted Subsidiary in excess of $10,000,000 in respect of any tax, fee, assessment, or other governmental charge, or (vii) involves any material product recall; </w:t>
      </w:r>
    </w:p>
    <w:p>
      <w:pPr>
        <w:pStyle w:val="TextBody"/>
        <w:bidi w:val="0"/>
        <w:spacing w:before="120" w:after="0"/>
        <w:jc w:val="left"/>
        <w:rPr>
          <w:rFonts w:ascii="Times New Roman" w:hAnsi="Times New Roman"/>
          <w:sz w:val="20"/>
        </w:rPr>
      </w:pPr>
      <w:r>
        <w:rPr>
          <w:rFonts w:ascii="Times New Roman" w:hAnsi="Times New Roman"/>
          <w:sz w:val="20"/>
        </w:rPr>
        <w:t xml:space="preserve">(c) any material change in accounting or financial reporting practices by any Borrower or any Subsidiary (other than to the extent required by GAAP); </w:t>
      </w:r>
    </w:p>
    <w:p>
      <w:pPr>
        <w:pStyle w:val="TextBody"/>
        <w:bidi w:val="0"/>
        <w:spacing w:before="120" w:after="0"/>
        <w:jc w:val="left"/>
        <w:rPr>
          <w:rFonts w:ascii="Times New Roman" w:hAnsi="Times New Roman"/>
          <w:sz w:val="20"/>
        </w:rPr>
      </w:pPr>
      <w:r>
        <w:rPr>
          <w:rFonts w:ascii="Times New Roman" w:hAnsi="Times New Roman"/>
          <w:sz w:val="20"/>
        </w:rPr>
        <w:t xml:space="preserve">(d) the occurrence of any ERISA Event or Canadian Pension Event that, alone or together with any other ERISA Events or Canadian Pension Events that have occurred, could reasonably be expected to result in liability of the Loan Parties and their Subsidiaries in an aggregate amount exceeding $10,000,000; </w:t>
      </w:r>
    </w:p>
    <w:p>
      <w:pPr>
        <w:pStyle w:val="TextBody"/>
        <w:bidi w:val="0"/>
        <w:spacing w:before="120" w:after="0"/>
        <w:jc w:val="left"/>
        <w:rPr>
          <w:rFonts w:ascii="Times New Roman" w:hAnsi="Times New Roman"/>
          <w:sz w:val="20"/>
        </w:rPr>
      </w:pPr>
      <w:r>
        <w:rPr>
          <w:rFonts w:ascii="Times New Roman" w:hAnsi="Times New Roman"/>
          <w:sz w:val="20"/>
        </w:rPr>
        <w:t xml:space="preserve">(e) any other development that results in, or could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(f) any change in the information provided in the Beneficial Ownership Certification delivered to such Lender that would result in a change to the list of beneficial owners identified in such certification. </w:t>
      </w:r>
    </w:p>
    <w:p>
      <w:pPr>
        <w:pStyle w:val="TextBody"/>
        <w:bidi w:val="0"/>
        <w:spacing w:before="240" w:after="0"/>
        <w:jc w:val="left"/>
        <w:rPr>
          <w:rFonts w:ascii="Times New Roman" w:hAnsi="Times New Roman"/>
          <w:sz w:val="20"/>
        </w:rPr>
      </w:pPr>
      <w:r>
        <w:rPr>
          <w:rFonts w:ascii="Times New Roman" w:hAnsi="Times New Roman"/>
          <w:sz w:val="20"/>
        </w:rPr>
        <w:t xml:space="preserve">Each notice delivered under this Section (i) shall be in writing, (ii) shall contain a heading or a reference line that reads “Notice under Section 5.02 of Distribution Solutions Group, Inc. Credit Agreement dated as of December 18, 2025” and (iii) shall be accompanied by a statement of a Financial Officer or other executive officer of the Borrower Representative setting forth the details of the event or development requiring such notice and any action taken or proposed to be taken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Existence; Conduct of Business</w:t>
      </w:r>
      <w:r>
        <w:rPr>
          <w:rFonts w:ascii="Times New Roman" w:hAnsi="Times New Roman"/>
          <w:sz w:val="20"/>
        </w:rPr>
        <w:t xml:space="preserve">. Each Loan Party will, and will cause each Restricted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except in jurisdictions where the failure to be so qualified would not result in a Material Adverse </w:t>
      </w:r>
      <w:r>
        <w:rPr>
          <w:rFonts w:ascii="Times New Roman" w:hAnsi="Times New Roman"/>
          <w:strike/>
          <w:color w:val="FF0000"/>
          <w:sz w:val="20"/>
        </w:rPr>
        <w:t>effect</w:t>
      </w:r>
      <w:r>
        <w:rPr>
          <w:rFonts w:ascii="Times New Roman" w:hAnsi="Times New Roman"/>
          <w:color w:val="0000FF"/>
          <w:sz w:val="20"/>
          <w:u w:val="single"/>
          <w:bdr w:val="double" w:sz="2" w:space="1" w:color="000000"/>
        </w:rPr>
        <w:t>Effect</w:t>
      </w:r>
      <w:r>
        <w:rPr>
          <w:rFonts w:ascii="Times New Roman" w:hAnsi="Times New Roman"/>
          <w:sz w:val="20"/>
        </w:rPr>
        <w:t xml:space="preserve"> ; provided that the foregoing shall not prohibit any merger, amalgamation, consolidation, liquidation or dissolution permitted under Section 6.03 and (b) carry on and conduct its business in substantially the same manner and in substantially the same fields of enterprise as it is presently conducted or in fields of enterprise that are incidental or reasonably related to its fields of enterprise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Payment of Obligations</w:t>
      </w:r>
      <w:r>
        <w:rPr>
          <w:rFonts w:ascii="Times New Roman" w:hAnsi="Times New Roman"/>
          <w:sz w:val="20"/>
        </w:rPr>
        <w:t xml:space="preserve">. Each Loan Party will, and will cause each Restricted Subsidiary to, pay or discharge all Material Indebtedness and all other material liabilities and obligations, including Taxes, that if not paid, could reasonably be expected to result in a Material Adverse Effect before the same shall become delinquent or in default, except where (a) the validity or amount thereof is being contested in good faith by appropriate proceedings, (b) such Loan Party or Restricted Subsidiary has set aside on its books adequate reserves with respect thereto in accordance with GAAP and (c) the failure to make payment pending such contest could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Maintenance of Properties</w:t>
      </w:r>
      <w:r>
        <w:rPr>
          <w:rFonts w:ascii="Times New Roman" w:hAnsi="Times New Roman"/>
          <w:sz w:val="20"/>
        </w:rPr>
        <w:t xml:space="preserve">. Each Loan Party will, and will cause each Restricted Subsidiary to, keep and maintain all property material to the conduct of its business in good working order and condition, ordinary wear and tear excepted.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Books and Records; Inspection Rights</w:t>
      </w:r>
      <w:r>
        <w:rPr>
          <w:rFonts w:ascii="Times New Roman" w:hAnsi="Times New Roman"/>
          <w:sz w:val="20"/>
        </w:rPr>
        <w:t xml:space="preserve">. Each Loan Party will, and will cause each Restricted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including examining and making extracts from its books and records, and to discuss its affairs, finances and condition with its officers and independent accountants; provided that unless an Event of Default has occurred and is continuing, the Administrative Agent and the Lenders shall not conduct more than one such visit or inspection per year; provided further that if an Event of Default has occurred and is continuing, the Administrative Agent and the Lenders may, in their discretion, also conduct at the Loan Party’s premises field examinations of the Loan Party’s assets, liabilities, and books and records. The Loan Parties acknowledge that the Administrative Agent, after exercising its rights of inspection, may prepare and distribute to the Lenders certain Reports pertaining to the Loan Parties’ assets for internal use by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Compliance with Laws</w:t>
      </w:r>
      <w:r>
        <w:rPr>
          <w:rFonts w:ascii="Times New Roman" w:hAnsi="Times New Roman"/>
          <w:sz w:val="20"/>
        </w:rPr>
        <w:t xml:space="preserve">. Each Loan Party will, and will cause each Restricted Subsidiary to, comply with each Requirement of Law applicable to it or its property (including without limitation Environmental Laws), except, in each case, where the failure to do so, individually or in the aggregate, could not reasonably be expected to result in a Material Adverse Effect. Each Loan Party will maintain in effect and enforce policies and procedures reasonably designed to promote compliance by such Loan Party, its Subsidiaries and their respective directors, officers, employees and agents acting on their behalf with Anti-Corruption Laws and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proceeds of the Initial Term Loans will be used to finance the Transactions to occur on the Effective Date, with any remaining proceeds being used for working capital needs and for general corporate purposes of the Borrowers and their Restricted Subsidiaries. The proceeds of the Revolving Loans, Swingline Loans and the Letters of Credit will be used only to finance the working capital needs and general corporate purposes of the Borrowers and their Restricted Subsidiaries (including, without limitation, the </w:t>
      </w:r>
      <w:r>
        <w:rPr>
          <w:rFonts w:ascii="Times New Roman" w:hAnsi="Times New Roman"/>
          <w:strike/>
          <w:color w:val="FF0000"/>
          <w:sz w:val="20"/>
        </w:rPr>
        <w:t>Transactions to occur on the Effective Date</w:t>
      </w:r>
      <w:r>
        <w:rPr>
          <w:rFonts w:ascii="Times New Roman" w:hAnsi="Times New Roman"/>
          <w:color w:val="0000FF"/>
          <w:sz w:val="20"/>
          <w:u w:val="single"/>
          <w:bdr w:val="double" w:sz="2" w:space="1" w:color="000000"/>
        </w:rPr>
        <w:t>Take-Private Transaction</w:t>
      </w:r>
      <w:r>
        <w:rPr>
          <w:rFonts w:ascii="Times New Roman" w:hAnsi="Times New Roman"/>
          <w:sz w:val="20"/>
        </w:rPr>
        <w:t>, Permitted Acquisitions</w:t>
      </w:r>
      <w:r>
        <w:rPr>
          <w:rFonts w:ascii="Times New Roman" w:hAnsi="Times New Roman"/>
          <w:color w:val="0000FF"/>
          <w:sz w:val="20"/>
          <w:u w:val="single"/>
          <w:bdr w:val="double" w:sz="2" w:space="1" w:color="000000"/>
        </w:rPr>
        <w:t>, other investments not prohibited hereunder</w:t>
      </w:r>
      <w:r>
        <w:rPr>
          <w:rFonts w:ascii="Times New Roman" w:hAnsi="Times New Roman"/>
          <w:sz w:val="20"/>
        </w:rPr>
        <w:t xml:space="preserve"> and Restricted Payments). No part of the proceeds of any Loan and no Letter of Credit will be used, whether directly or indirectly, for any purpose that entails a violation of any of the regulations of the Federal Reserve Board, including Regulations T, U and X.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will not request any Borrowing or Letter of Credit, and no Borrower shall use, and each Borrower shall procure that its Subsidiaries and its or their respective directors, officers, employees and agents acting on their behalf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in violation of Sanctions or in any Sanctioned Country, except to the extent permitted for a Person required to comply with Sanctions, or (iii) in any manner that would result in the violation of any Sanctions applicable to any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Accuracy of Information</w:t>
      </w:r>
      <w:r>
        <w:rPr>
          <w:rFonts w:ascii="Times New Roman" w:hAnsi="Times New Roman"/>
          <w:sz w:val="20"/>
        </w:rPr>
        <w:t xml:space="preserve">. The Loan Parties will ensure that any information, including financial statements or other documents (taken as a whole), furnished by or on behalf of such Loan Party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in any material respect (in each case, after giving effect to all supplements and updates from time to time), and the furnishing of such information shall be deemed to be a representation and warranty by the Borrowers on the date thereof as to the matters specified in this Section 5.09; provided that, with respect to the Projections, the Loan Parties will cause the Projections to be prepared in good faith based upon assumptions believed to be reasonable at the time, it being recognized and understood by the Lenders that all forward-looking information as to future events are not to be viewed as facts or a guarantee of performance, are subject to significant uncertainties and contingencies, many of which are beyond the control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Subsidiaries, that no assurance can be given that any particular forward-looking information will be realized and that actual results during the period or periods covered by any such forward-looking information may differ from the projected results and such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Insurance</w:t>
      </w:r>
      <w:r>
        <w:rPr>
          <w:rFonts w:ascii="Times New Roman" w:hAnsi="Times New Roman"/>
          <w:sz w:val="20"/>
        </w:rPr>
        <w:t xml:space="preserve">. Each Loan Party will, and will cause each Restricted Subsidiary to, maintain with financially sound and reputable carriers (a) insurance in such amounts (with no greater risk retention) and against such risks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but no less frequently than annually, information in reasonable detail as to the insurance so maintained.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Blocking Statute Carve-Out</w:t>
      </w:r>
      <w:r>
        <w:rPr>
          <w:rFonts w:ascii="Times New Roman" w:hAnsi="Times New Roman"/>
          <w:sz w:val="20"/>
        </w:rPr>
        <w:t xml:space="preserve">. Notwithstanding any other provision in this Agreement, nothing in this Agreement is intended to require a Borrower that is a corporation registered or incorporated under the laws of Canada and that carries on business in whole or in part in Canada, or any director, officer, manager, or employee in a position of authority of such corporation, to commit an act or omission that contravenes any provision of the Canadian Foreign Extraterritorial Measures Act or a similar applicable blocking statute (“Blocking Statute”). For the avoidance of doubt, the operation of this Clause shall not, in any way, affect the operation of other provisions to this Agreement in respect of any Party not subject to the relevant Blocking Statute.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under the laws or regulations applicable to them, a Borrower would be required to act in a manner contrary to the above paragraph, the Borrower should inform the Lenders and commit to find, prior to use, lending, contribution or making available of the proceeds of any credit extension, a mutually acceptable solution to mitigate any potential or existing risks under applicable Blocking Statutes to which the Lenders could be exposed. To that end, the Borrower commits to act in good faith and to provide all information reasonably necessary for the Lenders to assess their actual or potential exposure under applicable Blocking Statutes.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Casualty and Condemnation</w:t>
      </w:r>
      <w:r>
        <w:rPr>
          <w:rFonts w:ascii="Times New Roman" w:hAnsi="Times New Roman"/>
          <w:sz w:val="20"/>
        </w:rPr>
        <w:t xml:space="preserve">. The Borrowers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Additional Collateral; Further Assurances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applicable law, as promptly as possible but in any event within thirty (30) days (or such later date as may be agreed upon by the Administrative Agent) after (i) any Person becomes a U.S. Subsidiary or Canadian Subsidiary and also constitutes a Material Subsidiary (on a pro forma basis after giving effect to the transaction pursuant to which such Person became a Restricted Subsidiary) or (ii) any U.S. Subsidiary or Canadian Subsidiary qualifies independently as, or is designated by the Company or the Administrative Agent as, a Material Subsidiary pursuant to the definition of “Material Subsidiary”, then, in each case, the Company shall provide the Administrative Agent with written notice thereof and shall cause each such Restricted Subsidiary to deliver to the Administrative Agent a Joinder Agreement and a joinder to the applicable Security Agreement (in the form contemplated thereby) pursuant to which such Restricted Subsidiary agrees to be bound by the terms and provisions hereof and thereof, such Joinder Agreements and joinders to the applicable Security Agreement to be accompanied by appropriate corporate resolutions, other corporate documentation and, if reasonably requested by the Administrative Agent, legal opinions, in each case, in form and substance reasonably satisfactory to the Administrative Agent; </w:t>
      </w:r>
      <w:r>
        <w:rPr>
          <w:rFonts w:ascii="Times New Roman" w:hAnsi="Times New Roman"/>
          <w:sz w:val="20"/>
          <w:u w:val="single"/>
        </w:rPr>
        <w:t>provided</w:t>
      </w:r>
      <w:r>
        <w:rPr>
          <w:rFonts w:ascii="Times New Roman" w:hAnsi="Times New Roman"/>
          <w:sz w:val="20"/>
        </w:rPr>
        <w:t xml:space="preserve"> that no such Restricted Subsidiary shall be required to be a Guarantor or Loan Party hereunder to the extent that the provision of a guarantee would result in a material adverse tax consequence for the Borrowers and their Subsidiaries or the cost, burden, difficulty or consequence of such Restricted Subsidiary providing such a guarantee outweighs the value afforded thereby. In connection therewith, the Administrative Agent shall have received all documentation and other information regarding such newly formed or acquired Restricted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 excluding any parcel of real property located in the U.S. owned by any Loan Party; </w:t>
      </w:r>
      <w:r>
        <w:rPr>
          <w:rFonts w:ascii="Times New Roman" w:hAnsi="Times New Roman"/>
          <w:sz w:val="20"/>
          <w:u w:val="single"/>
        </w:rPr>
        <w:t>provided</w:t>
      </w:r>
      <w:r>
        <w:rPr>
          <w:rFonts w:ascii="Times New Roman" w:hAnsi="Times New Roman"/>
          <w:sz w:val="20"/>
        </w:rPr>
        <w:t xml:space="preserve"> that in no event shall any Canadian Loan Party guarantee, support or otherwise provide Collateral to secure the U.S.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(b) Each Loan Party will cause, and will cause each other Loan Party to cause, all of its owned property (other than Excluded Property) to be subject at all times to first priority, perfected Liens in favor of the Administrative Agent for the benefit of the Secured Parties to secure the Secured Obligations in accordance with the terms and conditions of the Collateral Documents, subject in any case to Liens permitted by Section 6.02. Without limiting the generality of the foregoing, each Loan Party will cause 100% of the issued and outstanding Equity Interests of each of its directly owned Restricted Subsidiaries to be subject at all times to a first priority, perfected Lien (subject in any case to Liens permitted by Section 6.02) in favor of the Administrative Agent for the benefit of the Administrative Agent and the other Secured Parties, pursuant to the terms and conditions of the Loan Documents or other security documents as the Administrative Agent shall reasonably request, except to the extent that the pledging of such Equity Interests would result in a material adverse tax consequence for such Loan Party and its Subsidiaries or the cost, burden, difficulty or consequence of the pledging of such Equity Interests outweighs the value afforded thereby. For the avoidance of doubt, any Lien granted by any Canadian Loan Party under this paragraph (b) shall secure only the Canadian Secured Obligations.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each Loan Party will, and will cause each Restricted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material assets (excluding any Excluded Property (as defined in the applicable Security Agreement for such Loan Party)) are acquired by any Loan Party after the Effective Date (other than assets constituting Collateral under the Security Agreements that become subject to the Lien under the applicable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all at the expense of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herein or in any other Loan Document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(i) none of the U.S. Secured Obligations shall be secured by Collateral of any Canadian Loan Party; </w:t>
      </w:r>
    </w:p>
    <w:p>
      <w:pPr>
        <w:pStyle w:val="TextBody"/>
        <w:bidi w:val="0"/>
        <w:spacing w:before="120" w:after="0"/>
        <w:jc w:val="left"/>
        <w:rPr>
          <w:rFonts w:ascii="Times New Roman" w:hAnsi="Times New Roman"/>
          <w:sz w:val="20"/>
        </w:rPr>
      </w:pPr>
      <w:r>
        <w:rPr>
          <w:rFonts w:ascii="Times New Roman" w:hAnsi="Times New Roman"/>
          <w:sz w:val="20"/>
        </w:rPr>
        <w:t xml:space="preserve">(ii) no Collateral Documents governed under the laws of any jurisdiction other than the United States and Canada (or a subdivision thereof) shall be required, and no actions in any jurisdiction other than the United States and Canada (or a subdivision thereof) shall be required in order to create or perfect any security interest in assets located or titled outside the United States or Canada (or a subdivision thereof); and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Administrative Agent may (but shall not be obligated to) determine in its sole and reasonable discretion that the cost to the Loan Parties of granting and perfecting any Lien is disproportionate to the benefit to be realized by the Administrative Agent, the Lenders and the other Secured Parties by perfecting a Lien in a given asset or group of assets included in the Collateral and, in such case, the Administrative Agent shall be permitted to, without the consent of the Lenders or Required Lenders, waive any requirement of perfection of any such Lien required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Post-Closing Requirements</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(a) </w:t>
      </w:r>
      <w:r>
        <w:rPr>
          <w:rFonts w:ascii="Times New Roman" w:hAnsi="Times New Roman"/>
          <w:strike/>
          <w:color w:val="FF0000"/>
          <w:sz w:val="20"/>
        </w:rPr>
        <w:t xml:space="preserve">. </w:t>
      </w:r>
      <w:r>
        <w:rPr>
          <w:rFonts w:ascii="Times New Roman" w:hAnsi="Times New Roman"/>
          <w:sz w:val="20"/>
        </w:rPr>
        <w:t xml:space="preserve">Not later than the dates set forth in Schedule 5.14 (or such later dates as the Administrative Agent shall agree in its sole discretion) or as otherwise required thereunder, the Loan Parties shall take the actions set forth on Schedule 5.14.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color w:val="0000FF"/>
          <w:sz w:val="20"/>
          <w:u w:val="single"/>
          <w:bdr w:val="double" w:sz="2" w:space="1" w:color="000000"/>
        </w:rPr>
        <w:t xml:space="preserve">Concurrent with the occurrence of the Effective Time (or such later time as the Administrative Agent may agree in its reasonable discretion, but in no event later than thirty (30) days after the occurrence of the Effective Time), HoldCo shall deliver to the Administrative Agent a Joinder Agreement and a joinder to the U.S. Security Agreement (in the form contemplated thereby) pursuant to which HoldCo agrees to be bound by the terms and provisions hereof and thereof, such Joinder Agreements and joinder to the U.S. Security Agreement to be accompanied by appropriate corporate resolutions, other corporate documentation, legal opinions, in each case, in form and substance reasonably satisfactory to the Administrative Agent. In connection therewith, the Administrative Agent shall have received all documentation and other information regarding HoldCo as may be required to comply with the applicable “know your customer” rules and regulations, including the USA Patriot Act. Upon execution and delivery thereof, HoldCo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HoldCo which constitutes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Designation of Unrestricted Subsidiaries</w:t>
      </w:r>
      <w:r>
        <w:rPr>
          <w:rFonts w:ascii="Times New Roman" w:hAnsi="Times New Roman"/>
          <w:sz w:val="20"/>
        </w:rPr>
        <w:t xml:space="preserve">. The Company may at any time after the Effective Date designate any Restricted Subsidiary as an Unrestricted Subsidiary or any Unrestricted Subsidiary as a Restricted Subsidiary; provided that (a) immediately before and after giving effect (including giving effect on a pro forma basis) to any such designation, (i) no Default or Event of Default shall have occurred and be continuing or would result therefrom and (ii)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shall be in pro forma compliance with the financial covenants set forth in Section 6.12</w:t>
      </w:r>
      <w:r>
        <w:rPr>
          <w:rFonts w:ascii="Times New Roman" w:hAnsi="Times New Roman"/>
          <w:color w:val="0000FF"/>
          <w:sz w:val="20"/>
          <w:u w:val="single"/>
          <w:bdr w:val="double" w:sz="2" w:space="1" w:color="000000"/>
        </w:rPr>
        <w:t xml:space="preserve"> (after giving effect to any Total Net Leverage Ratio Adjustment)</w:t>
      </w:r>
      <w:r>
        <w:rPr>
          <w:rFonts w:ascii="Times New Roman" w:hAnsi="Times New Roman"/>
          <w:sz w:val="20"/>
        </w:rPr>
        <w:t>, (b) no Loan Party may be designated as an Unrestricted Subsidiary, (c) no Subsidiary may be designated as an Unrestricted Subsidiary if, after such designation, it would be a “Restricted Subsidiary” (or analogous concept) for the purpose of any secured Indebtedness permitted hereunder, (d) no Unrestricted Subsidiary may (i) own Equity Interests in or</w:t>
      </w:r>
      <w:r>
        <w:rPr>
          <w:rFonts w:ascii="Times New Roman" w:hAnsi="Times New Roman"/>
          <w:color w:val="0000FF"/>
          <w:sz w:val="20"/>
          <w:u w:val="single"/>
          <w:bdr w:val="double" w:sz="2" w:space="1" w:color="000000"/>
        </w:rPr>
        <w:t>, unless expressly permitted by Section 6.01,</w:t>
      </w:r>
      <w:r>
        <w:rPr>
          <w:rFonts w:ascii="Times New Roman" w:hAnsi="Times New Roman"/>
          <w:sz w:val="20"/>
        </w:rPr>
        <w:t xml:space="preserve"> Indebtedness of a Loan Party or any Restricted Subsidiary</w:t>
      </w:r>
      <w:r>
        <w:rPr>
          <w:rFonts w:ascii="Times New Roman" w:hAnsi="Times New Roman"/>
          <w:color w:val="0000FF"/>
          <w:sz w:val="20"/>
          <w:u w:val="single"/>
          <w:bdr w:val="double" w:sz="2" w:space="1" w:color="000000"/>
        </w:rPr>
        <w:t>; provided that any such Indebtedness shall be unsecured and subordinated to the Secured Obligations on terms reasonably satisfactory to the Administrative Agent</w:t>
      </w:r>
      <w:r>
        <w:rPr>
          <w:rFonts w:ascii="Times New Roman" w:hAnsi="Times New Roman"/>
          <w:sz w:val="20"/>
        </w:rPr>
        <w:t xml:space="preserve"> or (ii)</w:t>
      </w:r>
      <w:r>
        <w:rPr>
          <w:rFonts w:ascii="Times New Roman" w:hAnsi="Times New Roman"/>
          <w:color w:val="0000FF"/>
          <w:sz w:val="20"/>
          <w:u w:val="single"/>
          <w:bdr w:val="double" w:sz="2" w:space="1" w:color="000000"/>
        </w:rPr>
        <w:t>,</w:t>
      </w:r>
      <w:r>
        <w:rPr>
          <w:rFonts w:ascii="Times New Roman" w:hAnsi="Times New Roman"/>
          <w:sz w:val="20"/>
        </w:rPr>
        <w:t xml:space="preserve"> hold a Lien on any property of a Loan Party or any Restricted Subsidiary that is not a Subsidiary to be so designated as an Unrestricted Subsidiary, (e) after giving effect to such designation as an Unrestricted Subsidiary, such Unrestricted Subsidiary shall not own any intellectual property that is material to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the Restricted Subsidiaries; provided further that the Company and its Restricted Subsidiaries may grant non-exclusive licenses of any intellectual property to any Unrestricted Subsidiary in the ordinary course of business so long as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and its Restricted Subsidiaries retain the beneficial ownership and the same rights to use such intellectual property as held prior to such license and (f) no Indebtedness of any Unrestricted Subsidiary shall be guaranteed by or have recourse to any Loan Party, any Restricted Subsidiary, or any property or assets of the foregoing</w:t>
      </w:r>
      <w:r>
        <w:rPr>
          <w:rFonts w:ascii="Times New Roman" w:hAnsi="Times New Roman"/>
          <w:color w:val="0000FF"/>
          <w:sz w:val="20"/>
          <w:u w:val="single"/>
          <w:bdr w:val="double" w:sz="2" w:space="1" w:color="000000"/>
        </w:rPr>
        <w:t xml:space="preserve"> unless expressly permitted by Section 6.04(r)</w:t>
      </w:r>
      <w:r>
        <w:rPr>
          <w:rFonts w:ascii="Times New Roman" w:hAnsi="Times New Roman"/>
          <w:sz w:val="20"/>
        </w:rPr>
        <w:t>. The designation of any Subsidiary as an Unrestricted Subsidiary after the Effective Date shall constitute an investment by the Company (</w:t>
      </w:r>
      <w:r>
        <w:rPr>
          <w:rFonts w:ascii="Times New Roman" w:hAnsi="Times New Roman"/>
          <w:color w:val="0000FF"/>
          <w:sz w:val="20"/>
          <w:u w:val="single"/>
          <w:bdr w:val="double" w:sz="2" w:space="1" w:color="000000"/>
        </w:rPr>
        <w:t>or, after the consummation of the Take-Private Transaction, HoldCo) (</w:t>
      </w:r>
      <w:r>
        <w:rPr>
          <w:rFonts w:ascii="Times New Roman" w:hAnsi="Times New Roman"/>
          <w:sz w:val="20"/>
        </w:rPr>
        <w:t>or the applicable Restricted Subsidiary that owns such designated Subsidiary) therein at the date of designation as set forth in Section 6.04. The designation of any Unrestricted Subsidiary as a Restricted Subsidiary shall constitute (i) the incurrence at the time of designation of any investment, Indebtedness or Liens of such Subsidiary existing at such time and (ii) a return on any investment by the Company (or</w:t>
      </w:r>
      <w:r>
        <w:rPr>
          <w:rFonts w:ascii="Times New Roman" w:hAnsi="Times New Roman"/>
          <w:color w:val="0000FF"/>
          <w:sz w:val="20"/>
          <w:u w:val="single"/>
          <w:bdr w:val="double" w:sz="2" w:space="1" w:color="000000"/>
        </w:rPr>
        <w:t>, after the consummation of the Take-Private Transaction, HoldCo) (or</w:t>
      </w:r>
      <w:r>
        <w:rPr>
          <w:rFonts w:ascii="Times New Roman" w:hAnsi="Times New Roman"/>
          <w:sz w:val="20"/>
        </w:rPr>
        <w:t xml:space="preserve"> the applicable Restricted Subsidiary that owns such designated Subsidiary) in Unrestricted Subsidiaries pursuant to Section 6.04.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u w:val="single"/>
        </w:rPr>
        <w:t>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of the Secured Obligations shall have been Paid in Full, each Loan Party executing this Agreement covenants and agrees, jointly and severally with all of the other Loan Parties, with the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Indebtedness</w:t>
      </w:r>
      <w:r>
        <w:rPr>
          <w:rFonts w:ascii="Times New Roman" w:hAnsi="Times New Roman"/>
          <w:sz w:val="20"/>
        </w:rPr>
        <w:t xml:space="preserve">. No Loan Party will, nor will it permit any Restricted Subsidiary to, create, incur, assume or suffer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the Secured Obligations and the Guaranteed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Indebtedness of any Borrower owing to any Restricted Subsidiary and of any Restricted Subsidiary owing to any Borrower or any other Restricted Subsidiary, </w:t>
      </w:r>
      <w:r>
        <w:rPr>
          <w:rFonts w:ascii="Times New Roman" w:hAnsi="Times New Roman"/>
          <w:sz w:val="20"/>
          <w:u w:val="single"/>
        </w:rPr>
        <w:t>provided</w:t>
      </w:r>
      <w:r>
        <w:rPr>
          <w:rFonts w:ascii="Times New Roman" w:hAnsi="Times New Roman"/>
          <w:sz w:val="20"/>
        </w:rPr>
        <w:t xml:space="preserve"> that (i) Indebtedness of any Restricted Subsidiary that is not a Loan Party owing to any Borrower or any other Loan Party shall be subject to the limitations set forth in Section 6.04, (ii) Indebtedness of any Loan Party owing to any Restricted Subsidiary that is not a Loan Party shall be subordinated to the Secured Obligations on terms reasonably satisfactory to the Administrative Agent, and (iii) the aggregate principal amount of Indebtedness of Restricted Subsidiaries that are not U.S. Loan Parties owing to U.S. Loan Parties at any time outstanding, together with the aggregate amount of all outstanding Guarantees permitted under Section 6.01(c)(iii) and the aggregate amount of all outstanding investments by U.S. Loan Parties in Restricted Subsidiaries that are not U.S. Loan Parties made after the Effective Date under Section 6.04(b), shall not at any time exceed an amount equal to 15% of Applicable EBITDA; </w:t>
      </w:r>
    </w:p>
    <w:p>
      <w:pPr>
        <w:pStyle w:val="TextBody"/>
        <w:bidi w:val="0"/>
        <w:spacing w:before="120" w:after="0"/>
        <w:jc w:val="left"/>
        <w:rPr>
          <w:rFonts w:ascii="Times New Roman" w:hAnsi="Times New Roman"/>
          <w:sz w:val="20"/>
        </w:rPr>
      </w:pPr>
      <w:r>
        <w:rPr>
          <w:rFonts w:ascii="Times New Roman" w:hAnsi="Times New Roman"/>
          <w:sz w:val="20"/>
        </w:rPr>
        <w:t xml:space="preserve">(c) Guarantees by any Borrower of Indebtedness of any Restricted Subsidiary and by any Restricted Subsidiary of Indebtedness of any Borrower or any other Restricted Subsidiary, </w:t>
      </w:r>
      <w:r>
        <w:rPr>
          <w:rFonts w:ascii="Times New Roman" w:hAnsi="Times New Roman"/>
          <w:sz w:val="20"/>
          <w:u w:val="single"/>
        </w:rPr>
        <w:t>provided</w:t>
      </w:r>
      <w:r>
        <w:rPr>
          <w:rFonts w:ascii="Times New Roman" w:hAnsi="Times New Roman"/>
          <w:sz w:val="20"/>
        </w:rPr>
        <w:t xml:space="preserve"> that (i) the Indebtedness so Guaranteed is permitted by this Section 6.01, (ii) Guarantees by any Borrower or other Loan Party of Indebtedness of any Restricted Subsidiary that is not a Loan Party shall be subject to Section 6.04, (iii) the aggregate principal amount of Indebtedness of Restricted Subsidiaries that are not U.S. Loan Parties that is Guaranteed by U.S. Loan Parties at any time outstanding, together with the aggregate amount of all outstanding Indebtedness permitted under Section 6.01(b)(iii) and the aggregate amount of all outstanding investments by U.S. Loan Parties in Restricted Subsidiaries that are not U.S. Loan Parties made after the Effective Date under Section 6.04(b), shall not at any time exceed an amount equal to 15% of Applicable EBITDA; </w:t>
      </w:r>
    </w:p>
    <w:p>
      <w:pPr>
        <w:pStyle w:val="TextBody"/>
        <w:bidi w:val="0"/>
        <w:spacing w:before="120" w:after="0"/>
        <w:jc w:val="left"/>
        <w:rPr>
          <w:rFonts w:ascii="Times New Roman" w:hAnsi="Times New Roman"/>
          <w:sz w:val="20"/>
        </w:rPr>
      </w:pPr>
      <w:r>
        <w:rPr>
          <w:rFonts w:ascii="Times New Roman" w:hAnsi="Times New Roman"/>
          <w:sz w:val="20"/>
        </w:rPr>
        <w:t xml:space="preserve">(d)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of any Loan Party in respect of performance bonds, bid bonds, appeal bonds, surety bonds and similar obligations, in each case provided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existing on the date hereof and listed on Schedule 6.01 and any Refinance Indebtedness in respect thereof; </w:t>
      </w:r>
    </w:p>
    <w:p>
      <w:pPr>
        <w:pStyle w:val="TextBody"/>
        <w:bidi w:val="0"/>
        <w:spacing w:before="120" w:after="0"/>
        <w:jc w:val="left"/>
        <w:rPr>
          <w:rFonts w:ascii="Times New Roman" w:hAnsi="Times New Roman"/>
          <w:sz w:val="20"/>
        </w:rPr>
      </w:pPr>
      <w:r>
        <w:rPr>
          <w:rFonts w:ascii="Times New Roman" w:hAnsi="Times New Roman"/>
          <w:sz w:val="20"/>
        </w:rPr>
        <w:t>(g) Indebtedness which represents extensions, renewals, refinancing or replacements (such Indebtedness being so extended, renewed, refinanced or replaced being referred to herein as the “R</w:t>
      </w:r>
      <w:r>
        <w:rPr>
          <w:rFonts w:ascii="Times New Roman" w:hAnsi="Times New Roman"/>
          <w:sz w:val="20"/>
          <w:u w:val="single"/>
        </w:rPr>
        <w:t>efinance Indebtedness</w:t>
      </w:r>
      <w:r>
        <w:rPr>
          <w:rFonts w:ascii="Times New Roman" w:hAnsi="Times New Roman"/>
          <w:sz w:val="20"/>
        </w:rPr>
        <w:t xml:space="preserve">”) of any of the Indebtedness described in </w:t>
      </w:r>
      <w:r>
        <w:rPr>
          <w:rFonts w:ascii="Times New Roman" w:hAnsi="Times New Roman"/>
          <w:strike/>
          <w:color w:val="FF0000"/>
          <w:sz w:val="20"/>
        </w:rPr>
        <w:t>clause</w:t>
      </w:r>
      <w:r>
        <w:rPr>
          <w:rFonts w:ascii="Times New Roman" w:hAnsi="Times New Roman"/>
          <w:color w:val="0000FF"/>
          <w:sz w:val="20"/>
          <w:u w:val="single"/>
          <w:bdr w:val="double" w:sz="2" w:space="1" w:color="000000"/>
        </w:rPr>
        <w:t>clauses (f)</w:t>
      </w:r>
      <w:r>
        <w:rPr>
          <w:rFonts w:ascii="Times New Roman" w:hAnsi="Times New Roman"/>
          <w:strike/>
          <w:color w:val="FF0000"/>
          <w:sz w:val="20"/>
        </w:rPr>
        <w:t>  or</w:t>
      </w:r>
      <w:r>
        <w:rPr>
          <w:rFonts w:ascii="Times New Roman" w:hAnsi="Times New Roman"/>
          <w:color w:val="0000FF"/>
          <w:sz w:val="20"/>
          <w:u w:val="single"/>
          <w:bdr w:val="double" w:sz="2" w:space="1" w:color="000000"/>
        </w:rPr>
        <w:t>, (q), (s), (v) or (u)</w:t>
      </w:r>
      <w:r>
        <w:rPr>
          <w:rFonts w:ascii="Times New Roman" w:hAnsi="Times New Roman"/>
          <w:sz w:val="20"/>
        </w:rPr>
        <w:t> hereof (such Indebtedness being referred to herein as the “</w:t>
      </w:r>
      <w:r>
        <w:rPr>
          <w:rFonts w:ascii="Times New Roman" w:hAnsi="Times New Roman"/>
          <w:sz w:val="20"/>
          <w:u w:val="single"/>
        </w:rPr>
        <w:t>Original Indebtedness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Refinance Indebtedness does not increase the principal amount thereof (other than by the amount of any unused commitments thereunder, accrued interest, fees, defeasance costs and premium (including call and tender premiums), if any, underwriting discounts, fees, commissions and expenses (including original issue discount, upfront fees and similar items), in each case, in connection with the refinancing of such Original Indebtedness and the incurrence or issuance of such Refinance Indebtedness), (ii) any Liens securing such Refinance Indebtedness are not extended to any additional property of any Loan Party or any Restricted Subsidiary (other than any accessions, improvements or additions to the property securing the Original Indebtedness and after acquired property to the extent applicable), (iii) no Loan Party or any Restricted Subsidiary that is not originally obligated with respect to repayment of such Original Indebtedness is required to become obligated with respect to such Refinance Indebtedness, (iv) </w:t>
      </w:r>
      <w:r>
        <w:rPr>
          <w:rFonts w:ascii="Times New Roman" w:hAnsi="Times New Roman"/>
          <w:color w:val="0000FF"/>
          <w:sz w:val="20"/>
          <w:u w:val="single"/>
          <w:bdr w:val="double" w:sz="2" w:space="1" w:color="000000"/>
        </w:rPr>
        <w:t xml:space="preserve">other than Indebtedness incurred pursuant to the Inside Maturity Basket, </w:t>
      </w:r>
      <w:r>
        <w:rPr>
          <w:rFonts w:ascii="Times New Roman" w:hAnsi="Times New Roman"/>
          <w:sz w:val="20"/>
        </w:rPr>
        <w:t xml:space="preserve">such Refinance Indebtedness does not result in a shortening of the average weighted maturity of such Original Indebtedness, (v) the terms of such Refinance Indebtedness are not less favorable to the obligor thereunder than the original terms of such Original Indebtedness </w:t>
      </w:r>
      <w:r>
        <w:rPr>
          <w:rFonts w:ascii="Times New Roman" w:hAnsi="Times New Roman"/>
          <w:color w:val="0000FF"/>
          <w:sz w:val="20"/>
          <w:u w:val="single"/>
          <w:bdr w:val="double" w:sz="2" w:space="1" w:color="000000"/>
        </w:rPr>
        <w:t>(except with respect to (x) covenants (including any Previously Absent Financial Maintenance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Covenant) and other terms applicable to any period after the latest Maturity Date in effect immediately prior to the incurrence of the Refinance Indebtedness, (y) a Previously Absent Financial Maintenance Covenant (so long as, to the extent that any such terms of any Refinance Indebtedness contain a Previously Absent Financial Maintenance Covenant that is in effect prior to the applicable latest Maturity Date in effect immediately prior to the incurrence of the Refinance Indebtedness, such Previously Absent Financial Maintenance Covenant shall be included for the benefit of each other Class of Term Loans or Revolving Commitments (as applicable)) or (z) such terms, provisions and documentation that (A) reflect market terms and conditions (taken as a whole) at the time of incurrence of such Refinance Indebtedness (as determined by the Borrowers in good faith) or (B) are reasonably satisfactory to the Administrative Agent (provided that, at Borrowers’ election, to the extent any term or provision is added for the benefit of the Lenders of Refinance Indebtedness, no consent shall be required from the Administrative Agent to the extent that such term or provision is also added, or the features of such term or provision are provided, for the benefit of the Lenders holding each other Class of Term Loans or Revolving Commitments (as applicable))) </w:t>
      </w:r>
      <w:r>
        <w:rPr>
          <w:rFonts w:ascii="Times New Roman" w:hAnsi="Times New Roman"/>
          <w:sz w:val="20"/>
        </w:rPr>
        <w:t xml:space="preserve">and (vi) if such Original Indebtedness was subordinated in right of payment to the Obligations or any of the other Secured Obligations, then the terms and conditions of such Refinance Indebtedness must include subordination terms and conditions that are at least as favorable to the Administrative Agent and the Lenders as those that were applicable to such Original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of any Person that is designated as a Restricted Subsidiary after the date hereof; </w:t>
      </w:r>
      <w:r>
        <w:rPr>
          <w:rFonts w:ascii="Times New Roman" w:hAnsi="Times New Roman"/>
          <w:sz w:val="20"/>
          <w:u w:val="single"/>
        </w:rPr>
        <w:t>provided</w:t>
      </w:r>
      <w:r>
        <w:rPr>
          <w:rFonts w:ascii="Times New Roman" w:hAnsi="Times New Roman"/>
          <w:sz w:val="20"/>
        </w:rPr>
        <w:t xml:space="preserve"> that (i) such Indebtedness exists at the time such Person becomes a Restricted Subsidiary and is not created in contemplation of or in connection with such Person becoming a Restricted Subsidiary and (ii) the aggregate principal amount of Indebtedness permitted by this clause (h), shall not exceed </w:t>
      </w:r>
      <w:r>
        <w:rPr>
          <w:rFonts w:ascii="Times New Roman" w:hAnsi="Times New Roman"/>
          <w:color w:val="0000FF"/>
          <w:sz w:val="20"/>
          <w:u w:val="single"/>
          <w:bdr w:val="double" w:sz="2" w:space="1" w:color="000000"/>
        </w:rPr>
        <w:t>the greater of (x) </w:t>
      </w:r>
      <w:r>
        <w:rPr>
          <w:rFonts w:ascii="Times New Roman" w:hAnsi="Times New Roman"/>
          <w:sz w:val="20"/>
        </w:rPr>
        <w:t>$</w:t>
      </w:r>
      <w:r>
        <w:rPr>
          <w:rFonts w:ascii="Times New Roman" w:hAnsi="Times New Roman"/>
          <w:strike/>
          <w:color w:val="FF0000"/>
          <w:sz w:val="20"/>
        </w:rPr>
        <w:t>20,000,000</w:t>
      </w:r>
      <w:r>
        <w:rPr>
          <w:rFonts w:ascii="Times New Roman" w:hAnsi="Times New Roman"/>
          <w:color w:val="0000FF"/>
          <w:sz w:val="20"/>
          <w:u w:val="single"/>
          <w:bdr w:val="double" w:sz="2" w:space="1" w:color="000000"/>
        </w:rPr>
        <w:t>28,500,000 and (y) 15% of Applicable EBITDA</w:t>
      </w:r>
      <w:r>
        <w:rPr>
          <w:rFonts w:ascii="Times New Roman" w:hAnsi="Times New Roman"/>
          <w:sz w:val="20"/>
        </w:rPr>
        <w:t xml:space="preserve"> at any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constituting Indebtedness, customer deposits and advance payments (including progress payments) received in the ordinary course of business from customers for goods and services purchased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Indebtedness (i) in respect of Banking Services and other netting services, overdraft protections, employee credit card programs, automatic clearinghouse arrangements and similar arrangements, in each case, in connection with deposit accounts and incurred in the ordinary course of business and (ii) arising from the honoring by a bank or other financial institution of a check, draft or similar instrument drawn against insufficient funds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obligations in respect of letters of support, guarantees or similar obligations issued, made or incurred for the benefit of the Company or any Restricted Subsidiary to the extent required by law or in connection with any statutory filing or the delivery of audit opinions performed in jurisdictions other than within the United States,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of the Company or any Restricted Subsidiary consisting of (i) the financing of insurance premiums or (ii) take or pay obligations contained in supply arrangements, in each case, incurred in the ordinary course of business or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(m) Indebtedness of (i) the Company or a Restricted Subsidiary incurred, assumed or issued in connection with any Permitted Acquisition and (ii) Persons that are acquired by the Company or any Restricted Subsidiary or merged into or amalgamated or consolidated with the Company or a Restricted Subsidiary, in each case, pursuant to a Permitted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Indebtedness of </w:t>
      </w:r>
      <w:r>
        <w:rPr>
          <w:rFonts w:ascii="Times New Roman" w:hAnsi="Times New Roman"/>
          <w:strike/>
          <w:color w:val="FF0000"/>
          <w:sz w:val="20"/>
        </w:rPr>
        <w:t>any Loan Party</w:t>
      </w:r>
      <w:r>
        <w:rPr>
          <w:rFonts w:ascii="Times New Roman" w:hAnsi="Times New Roman"/>
          <w:color w:val="0000FF"/>
          <w:sz w:val="20"/>
          <w:u w:val="single"/>
          <w:bdr w:val="double" w:sz="2" w:space="1" w:color="000000"/>
        </w:rPr>
        <w:t>the Company</w:t>
      </w:r>
      <w:r>
        <w:rPr>
          <w:rFonts w:ascii="Times New Roman" w:hAnsi="Times New Roman"/>
          <w:sz w:val="20"/>
        </w:rPr>
        <w:t xml:space="preserve"> or any Restricted Subsidiary arising from agreements providing for customary indemnification, adjustment of purchase or acquisition price or similar obligations (including, without limitation, earn-out obligations), in each case, incurred or assumed in connection with a Permitted Acquisition (or other acquisition constituting an investment permitted by Section 6.04) or Disposition permitted by Section 6.05; </w:t>
      </w:r>
    </w:p>
    <w:p>
      <w:pPr>
        <w:pStyle w:val="TextBody"/>
        <w:bidi w:val="0"/>
        <w:spacing w:before="120" w:after="0"/>
        <w:jc w:val="left"/>
        <w:rPr>
          <w:rFonts w:ascii="Times New Roman" w:hAnsi="Times New Roman"/>
          <w:sz w:val="20"/>
        </w:rPr>
      </w:pPr>
      <w:r>
        <w:rPr>
          <w:rFonts w:ascii="Times New Roman" w:hAnsi="Times New Roman"/>
          <w:sz w:val="20"/>
        </w:rPr>
        <w:t>(o) to the extent constituting Indebtedness</w:t>
      </w:r>
      <w:r>
        <w:rPr>
          <w:rFonts w:ascii="Times New Roman" w:hAnsi="Times New Roman"/>
          <w:color w:val="0000FF"/>
          <w:sz w:val="20"/>
          <w:u w:val="single"/>
          <w:bdr w:val="double" w:sz="2" w:space="1" w:color="000000"/>
        </w:rPr>
        <w:t xml:space="preserve"> of the Company or any Restricted Subsidiary</w:t>
      </w:r>
      <w:r>
        <w:rPr>
          <w:rFonts w:ascii="Times New Roman" w:hAnsi="Times New Roman"/>
          <w:sz w:val="20"/>
        </w:rPr>
        <w:t xml:space="preserve">, obligations under one or more Permitted Supply Chain Financings;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of the Company or any Restricted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(g) above; </w:t>
      </w:r>
      <w:r>
        <w:rPr>
          <w:rFonts w:ascii="Times New Roman" w:hAnsi="Times New Roman"/>
          <w:sz w:val="20"/>
          <w:u w:val="single"/>
        </w:rPr>
        <w:t>provided</w:t>
      </w:r>
      <w:r>
        <w:rPr>
          <w:rFonts w:ascii="Times New Roman" w:hAnsi="Times New Roman"/>
          <w:sz w:val="20"/>
        </w:rPr>
        <w:t xml:space="preserve"> that (i) such Indebtedness is incurred prior to or within 180 days after such acquisition or the completion of such construction or improvement and (ii) the aggregate principal amount of Indebtedness permitted by this clause (p), together with any Refinance Indebtedness in respect thereof permitted by clause (g) above, shall not exceed at any time outstanding an amount equal to </w:t>
      </w:r>
      <w:r>
        <w:rPr>
          <w:rFonts w:ascii="Times New Roman" w:hAnsi="Times New Roman"/>
          <w:strike/>
          <w:color w:val="FF0000"/>
          <w:sz w:val="20"/>
        </w:rPr>
        <w:t>15</w:t>
      </w:r>
      <w:r>
        <w:rPr>
          <w:rFonts w:ascii="Times New Roman" w:hAnsi="Times New Roman"/>
          <w:color w:val="0000FF"/>
          <w:sz w:val="20"/>
          <w:u w:val="single"/>
          <w:bdr w:val="double" w:sz="2" w:space="1" w:color="000000"/>
        </w:rPr>
        <w:t>25</w:t>
      </w:r>
      <w:r>
        <w:rPr>
          <w:rFonts w:ascii="Times New Roman" w:hAnsi="Times New Roman"/>
          <w:sz w:val="20"/>
        </w:rPr>
        <w:t xml:space="preserve">% of Applicable EBITDA; </w:t>
      </w:r>
    </w:p>
    <w:p>
      <w:pPr>
        <w:pStyle w:val="TextBody"/>
        <w:bidi w:val="0"/>
        <w:spacing w:before="120" w:after="0"/>
        <w:jc w:val="left"/>
        <w:rPr>
          <w:rFonts w:ascii="Times New Roman" w:hAnsi="Times New Roman"/>
          <w:sz w:val="20"/>
        </w:rPr>
      </w:pPr>
      <w:r>
        <w:rPr>
          <w:rFonts w:ascii="Times New Roman" w:hAnsi="Times New Roman"/>
          <w:sz w:val="20"/>
        </w:rPr>
        <w:t xml:space="preserve">(q) other Indebtedness of a Loan Party </w:t>
      </w:r>
      <w:r>
        <w:rPr>
          <w:rFonts w:ascii="Times New Roman" w:hAnsi="Times New Roman"/>
          <w:color w:val="0000FF"/>
          <w:sz w:val="20"/>
          <w:u w:val="single"/>
          <w:bdr w:val="double" w:sz="2" w:space="1" w:color="000000"/>
        </w:rPr>
        <w:t xml:space="preserve">(other than, after the consummation of the Take-Private Transaction, HoldCo except as a guarantor of the obligations thereunder) </w:t>
      </w:r>
      <w:r>
        <w:rPr>
          <w:rFonts w:ascii="Times New Roman" w:hAnsi="Times New Roman"/>
          <w:sz w:val="20"/>
        </w:rPr>
        <w:t xml:space="preserve">that is either unsecured or secured on a </w:t>
      </w:r>
      <w:r>
        <w:rPr>
          <w:rFonts w:ascii="Times New Roman" w:hAnsi="Times New Roman"/>
          <w:i/>
          <w:sz w:val="20"/>
        </w:rPr>
        <w:t xml:space="preserve">pari passu </w:t>
      </w:r>
      <w:r>
        <w:rPr>
          <w:rFonts w:ascii="Times New Roman" w:hAnsi="Times New Roman"/>
          <w:sz w:val="20"/>
        </w:rPr>
        <w:t xml:space="preserve">or junior Lien basis to the Secured Obligations;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(A) if such Indebtedness is secured by a Lien on the Collateral on a </w:t>
      </w:r>
      <w:r>
        <w:rPr>
          <w:rFonts w:ascii="Times New Roman" w:hAnsi="Times New Roman"/>
          <w:i/>
          <w:sz w:val="20"/>
        </w:rPr>
        <w:t>pari passu</w:t>
      </w:r>
      <w:r>
        <w:rPr>
          <w:rFonts w:ascii="Times New Roman" w:hAnsi="Times New Roman"/>
          <w:sz w:val="20"/>
        </w:rPr>
        <w:t xml:space="preserve"> basis with the Secured Obligations, the aggregate principal amount of such Indebtedness shall not exceed an amount so long as on and as of the date of such incurrence the First Lien Net Leverage Ratio (on a pro forma basis) does not exceed </w:t>
      </w:r>
      <w:r>
        <w:rPr>
          <w:rFonts w:ascii="Times New Roman" w:hAnsi="Times New Roman"/>
          <w:strike/>
          <w:color w:val="FF0000"/>
          <w:sz w:val="20"/>
        </w:rPr>
        <w:t>3.75</w:t>
      </w:r>
      <w:r>
        <w:rPr>
          <w:rFonts w:ascii="Times New Roman" w:hAnsi="Times New Roman"/>
          <w:color w:val="0000FF"/>
          <w:sz w:val="20"/>
          <w:u w:val="single"/>
          <w:bdr w:val="double" w:sz="2" w:space="1" w:color="000000"/>
        </w:rPr>
        <w:t>3.50</w:t>
      </w:r>
      <w:r>
        <w:rPr>
          <w:rFonts w:ascii="Times New Roman" w:hAnsi="Times New Roman"/>
          <w:sz w:val="20"/>
        </w:rPr>
        <w:t xml:space="preserve"> to 1.00 as of the last day of the most recently ended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120" w:after="0"/>
        <w:jc w:val="left"/>
        <w:rPr>
          <w:rFonts w:ascii="Times New Roman" w:hAnsi="Times New Roman"/>
          <w:sz w:val="20"/>
        </w:rPr>
      </w:pPr>
      <w:r>
        <w:rPr>
          <w:rFonts w:ascii="Times New Roman" w:hAnsi="Times New Roman"/>
          <w:sz w:val="20"/>
        </w:rPr>
        <w:t xml:space="preserve">(B) if such Indebtedness is secured by a Lien on the Collateral on a junior basis with the Secured Obligations, the aggregate principal amount of such Indebtedness shall not exceed an amount so long as on and as of the date of such incurrence the Secured Net Leverage Ratio (on a pro forma basis) does not exceed </w:t>
      </w:r>
      <w:r>
        <w:rPr>
          <w:rFonts w:ascii="Times New Roman" w:hAnsi="Times New Roman"/>
          <w:strike/>
          <w:color w:val="FF0000"/>
          <w:sz w:val="20"/>
        </w:rPr>
        <w:t>4.00</w:t>
      </w:r>
      <w:r>
        <w:rPr>
          <w:rFonts w:ascii="Times New Roman" w:hAnsi="Times New Roman"/>
          <w:color w:val="0000FF"/>
          <w:sz w:val="20"/>
          <w:u w:val="single"/>
          <w:bdr w:val="double" w:sz="2" w:space="1" w:color="000000"/>
        </w:rPr>
        <w:t>3.50</w:t>
      </w:r>
      <w:r>
        <w:rPr>
          <w:rFonts w:ascii="Times New Roman" w:hAnsi="Times New Roman"/>
          <w:sz w:val="20"/>
        </w:rPr>
        <w:t xml:space="preserve"> to 1.00 as of the last day of the most recently ended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120" w:after="0"/>
        <w:jc w:val="left"/>
        <w:rPr>
          <w:rFonts w:ascii="Times New Roman" w:hAnsi="Times New Roman"/>
          <w:sz w:val="20"/>
        </w:rPr>
      </w:pPr>
      <w:r>
        <w:rPr>
          <w:rFonts w:ascii="Times New Roman" w:hAnsi="Times New Roman"/>
          <w:sz w:val="20"/>
        </w:rPr>
        <w:t xml:space="preserve">(C) if such Indebtedness is unsecured, the aggregate principal amount of such Indebtedness shall not exceed an amount so long as on and as of the date of such incurrence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shall be in compliance, on a pro forma basis, with the financial covenant contained in Section 6.12(b) (including any applicable Total Net Leverage Ratio Adjustment) as of the last day of the most recently ended period of four consecutive fiscal quarters for which financial statements have been delivered pursuant to Section 5.01(a) or (b) (or, if prior to the date of the delivery of the first financial statements to be delivered pursuant to Section 5.01(a) or (b), the most recent financial statements referred to in Section 3.04(a));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no such Indebtedness shall be (1) secured by assets that do not constitute Collateral (or, substantially concurrently with the incurrence or establishment of such Indebtedness, are not added to the Collateral), (2) guaranteed by any Person that does not Guarantee the Secured Obligations (or, substantially concurrently with the incurrence or establishment of such Indebtedness, does not provide a Guarantee of the Secured Obligations) or (3) have any obligors that are not Loan Parties and (B) any such Indebtedness that is secured or subordinated shall be subject to an Applicable Intercreditor Agreement; </w:t>
      </w:r>
    </w:p>
    <w:p>
      <w:pPr>
        <w:pStyle w:val="TextBody"/>
        <w:bidi w:val="0"/>
        <w:spacing w:before="120" w:after="0"/>
        <w:jc w:val="left"/>
        <w:rPr>
          <w:rFonts w:ascii="Times New Roman" w:hAnsi="Times New Roman"/>
          <w:sz w:val="20"/>
        </w:rPr>
      </w:pPr>
      <w:r>
        <w:rPr>
          <w:rFonts w:ascii="Times New Roman" w:hAnsi="Times New Roman"/>
          <w:sz w:val="20"/>
        </w:rPr>
        <w:t>(iii)</w:t>
      </w:r>
      <w:r>
        <w:rPr>
          <w:rFonts w:ascii="Times New Roman" w:hAnsi="Times New Roman"/>
          <w:color w:val="0000FF"/>
          <w:sz w:val="20"/>
          <w:u w:val="single"/>
          <w:bdr w:val="double" w:sz="2" w:space="1" w:color="000000"/>
        </w:rPr>
        <w:t xml:space="preserve"> other than Indebtedness incurred pursuant to the Inside Maturity Basket, </w:t>
      </w:r>
      <w:r>
        <w:rPr>
          <w:rFonts w:ascii="Times New Roman" w:hAnsi="Times New Roman"/>
          <w:sz w:val="20"/>
        </w:rPr>
        <w:t xml:space="preserve">such Indebtedness shall not mature earlier than ninety-one (91) days after the latest Maturity Date in effect at such time (but may have amortization prior to such date so long as the weighted average life to maturity of any such Indebtedness shall be no shorter than the remaining weighted average life to maturity of the Initial Term Loans outstanding at such time); </w:t>
      </w:r>
    </w:p>
    <w:p>
      <w:pPr>
        <w:pStyle w:val="TextBody"/>
        <w:bidi w:val="0"/>
        <w:spacing w:before="120" w:after="0"/>
        <w:jc w:val="left"/>
        <w:rPr>
          <w:rFonts w:ascii="Times New Roman" w:hAnsi="Times New Roman"/>
          <w:sz w:val="20"/>
        </w:rPr>
      </w:pPr>
      <w:r>
        <w:rPr>
          <w:rFonts w:ascii="Times New Roman" w:hAnsi="Times New Roman"/>
          <w:sz w:val="20"/>
        </w:rPr>
        <w:t xml:space="preserve">(iv) any such Indebtedness that is secured on a </w:t>
      </w:r>
      <w:r>
        <w:rPr>
          <w:rFonts w:ascii="Times New Roman" w:hAnsi="Times New Roman"/>
          <w:i/>
          <w:sz w:val="20"/>
        </w:rPr>
        <w:t>pari passu</w:t>
      </w:r>
      <w:r>
        <w:rPr>
          <w:rFonts w:ascii="Times New Roman" w:hAnsi="Times New Roman"/>
          <w:sz w:val="20"/>
        </w:rPr>
        <w:t xml:space="preserve"> basis with the Secured Obligations shall be subject to the MFN Provision set forth in Section  2.09(</w:t>
      </w:r>
      <w:r>
        <w:rPr>
          <w:rFonts w:ascii="Times New Roman" w:hAnsi="Times New Roman"/>
          <w:strike/>
          <w:color w:val="FF0000"/>
          <w:sz w:val="20"/>
        </w:rPr>
        <w:t>l</w:t>
      </w:r>
      <w:r>
        <w:rPr>
          <w:rFonts w:ascii="Times New Roman" w:hAnsi="Times New Roman"/>
          <w:color w:val="0000FF"/>
          <w:sz w:val="20"/>
          <w:u w:val="single"/>
          <w:bdr w:val="double" w:sz="2" w:space="1" w:color="000000"/>
        </w:rPr>
        <w:t>g</w:t>
      </w:r>
      <w:r>
        <w:rPr>
          <w:rFonts w:ascii="Times New Roman" w:hAnsi="Times New Roman"/>
          <w:sz w:val="20"/>
        </w:rPr>
        <w:t xml:space="preserve">) as if such Indebtedness were an Incremental Term Facility incurred thereunder; </w:t>
      </w:r>
    </w:p>
    <w:p>
      <w:pPr>
        <w:pStyle w:val="TextBody"/>
        <w:bidi w:val="0"/>
        <w:spacing w:before="120" w:after="0"/>
        <w:jc w:val="left"/>
        <w:rPr>
          <w:rFonts w:ascii="Times New Roman" w:hAnsi="Times New Roman"/>
          <w:sz w:val="20"/>
        </w:rPr>
      </w:pPr>
      <w:r>
        <w:rPr>
          <w:rFonts w:ascii="Times New Roman" w:hAnsi="Times New Roman"/>
          <w:sz w:val="20"/>
        </w:rPr>
        <w:t xml:space="preserve">(v) except as otherwise required or permitted by this clause (q), any such Indebtedness shall be on terms as agreed between the applicable Loan Party and the Persons providing such Indebtedness; </w:t>
      </w:r>
      <w:r>
        <w:rPr>
          <w:rFonts w:ascii="Times New Roman" w:hAnsi="Times New Roman"/>
          <w:sz w:val="20"/>
          <w:u w:val="single"/>
        </w:rPr>
        <w:t>provided</w:t>
      </w:r>
      <w:r>
        <w:rPr>
          <w:rFonts w:ascii="Times New Roman" w:hAnsi="Times New Roman"/>
          <w:sz w:val="20"/>
        </w:rPr>
        <w:t xml:space="preserve"> that, if the terms applicable to such Indebtedness are not consistent with the terms of the then outstanding Initial Term Loans, the terms of any such Indebtedness shall not be more restrictive to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Subsidiaries than the terms of the then outstanding Initial Term Loans </w:t>
      </w:r>
      <w:r>
        <w:rPr>
          <w:rFonts w:ascii="Times New Roman" w:hAnsi="Times New Roman"/>
          <w:strike/>
          <w:color w:val="FF0000"/>
          <w:sz w:val="20"/>
        </w:rPr>
        <w:t>(</w:t>
      </w:r>
      <w:r>
        <w:rPr>
          <w:rFonts w:ascii="Times New Roman" w:hAnsi="Times New Roman"/>
          <w:sz w:val="20"/>
        </w:rPr>
        <w:t>as reasonably determined by the Borrower, in consultation with the Administrative Agent</w:t>
      </w:r>
      <w:r>
        <w:rPr>
          <w:rFonts w:ascii="Times New Roman" w:hAnsi="Times New Roman"/>
          <w:color w:val="0000FF"/>
          <w:sz w:val="20"/>
          <w:u w:val="single"/>
          <w:bdr w:val="double" w:sz="2" w:space="1" w:color="000000"/>
        </w:rPr>
        <w:t xml:space="preserve"> (except with respect to such terms, provisions and documentation that (A) reflect market terms and conditions (taken as a whole) at the time of incurrence of such Indebtedness (as determined by the Borrowers in good faith) or (B) are reasonably satisfactory to the Administrative Agent (provided that, at Borrowers’ election, to the extent any term or provision is added for the benefit of the Lenders of such Indebtedness, no consent shall be required from the Administrative Agent to the extent that such term or provision is also added, or the features of such term or provision are provided, for the benefit of the Initial Term Loans)</w:t>
      </w:r>
      <w:r>
        <w:rPr>
          <w:rFonts w:ascii="Times New Roman" w:hAnsi="Times New Roman"/>
          <w:sz w:val="20"/>
        </w:rPr>
        <w:t xml:space="preserve">), unless (1) the Lenders under the then outstanding Initial Term Loans also received the benefit of such more restrictive terms or (2) any such provisions apply only after the latest Maturity Date in effect at such time; and </w:t>
      </w:r>
    </w:p>
    <w:p>
      <w:pPr>
        <w:pStyle w:val="TextBody"/>
        <w:bidi w:val="0"/>
        <w:spacing w:before="120" w:after="0"/>
        <w:jc w:val="left"/>
        <w:rPr>
          <w:rFonts w:ascii="Times New Roman" w:hAnsi="Times New Roman"/>
          <w:sz w:val="20"/>
        </w:rPr>
      </w:pPr>
      <w:r>
        <w:rPr>
          <w:rFonts w:ascii="Times New Roman" w:hAnsi="Times New Roman"/>
          <w:sz w:val="20"/>
        </w:rPr>
        <w:t xml:space="preserve">(vi) the holders of such Indebtedness may participate on a pro rata basis or less than pro rata basis (but not on a greater than pro rata basis) in any voluntary or mandatory prepayments of Term Loans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(vii) (i) no Event of Default shall exist at the time such Indebtedness is incurred; </w:t>
      </w:r>
      <w:r>
        <w:rPr>
          <w:rFonts w:ascii="Times New Roman" w:hAnsi="Times New Roman"/>
          <w:sz w:val="20"/>
          <w:u w:val="single"/>
        </w:rPr>
        <w:t>provided</w:t>
      </w:r>
      <w:r>
        <w:rPr>
          <w:rFonts w:ascii="Times New Roman" w:hAnsi="Times New Roman"/>
          <w:sz w:val="20"/>
        </w:rPr>
        <w:t xml:space="preserve">, solely with respect to an such Indebtedness the proceeds of which are intended to and shall be used to finance substantially contemporaneously a Limited Condition Acquisition, the Persons providing such Indebtedness may agree to a “funds certain provision” that does not impose as a condition to funding thereof that no Event of Default exists at the time such Limited Condition Acquisition is consummated, in which event, the condition set forth in this clause (i) shall instead be that (x) no Event of Default shall exist on the LCA Test Date and (y) no Event of Default under Section 7.01(a), (b), (h) or (i)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 at the time of the funding of such Indebtedness and (ii) the representations and warranties contained in the Loan Documents shall be true and correct in all material respects with the same effect as though made at the time of the funding of such Indebtedness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w:t>
      </w:r>
      <w:r>
        <w:rPr>
          <w:rFonts w:ascii="Times New Roman" w:hAnsi="Times New Roman"/>
          <w:sz w:val="20"/>
          <w:u w:val="single"/>
        </w:rPr>
        <w:t>provided</w:t>
      </w:r>
      <w:r>
        <w:rPr>
          <w:rFonts w:ascii="Times New Roman" w:hAnsi="Times New Roman"/>
          <w:sz w:val="20"/>
        </w:rPr>
        <w:t xml:space="preserve">, solely with respect to such Indebtedness the proceeds of which are intended to and shall be used to finance substantially contemporaneously a Limited Condition Acquisition, the Persons providing such Indebtedness may agree that the condition set forth in this clause (ii) shall instead be that (x) such representations and warranties shall be true and correct as set forth above on the LCA Test Date and (y) the Specified Representations and Specified LCA Representations shall be true and correct at the time of the funding of such Indebtedness;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(viii) </w:t>
      </w:r>
      <w:r>
        <w:rPr>
          <w:rFonts w:ascii="Times New Roman" w:hAnsi="Times New Roman"/>
          <w:sz w:val="20"/>
          <w:u w:val="single"/>
        </w:rPr>
        <w:t>provided</w:t>
      </w:r>
      <w:r>
        <w:rPr>
          <w:rFonts w:ascii="Times New Roman" w:hAnsi="Times New Roman"/>
          <w:sz w:val="20"/>
        </w:rPr>
        <w:t xml:space="preserve"> that a certificate of a Responsible Officer of the Borrower Representative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requirements of this definition, shall be conclusive evidence that such terms and conditions satisfy the requirements of this definition unless the Administrative Agent notifies the Borrower Representative within such five (5) Business Day period that it disagrees with such determination (including a reasonable description of the basis upon which it disagrees);</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other Indebtedness </w:t>
      </w:r>
      <w:r>
        <w:rPr>
          <w:rFonts w:ascii="Times New Roman" w:hAnsi="Times New Roman"/>
          <w:color w:val="0000FF"/>
          <w:sz w:val="20"/>
          <w:u w:val="single"/>
          <w:bdr w:val="double" w:sz="2" w:space="1" w:color="000000"/>
        </w:rPr>
        <w:t xml:space="preserve">of the Company or any Restricted Subsidiary </w:t>
      </w:r>
      <w:r>
        <w:rPr>
          <w:rFonts w:ascii="Times New Roman" w:hAnsi="Times New Roman"/>
          <w:sz w:val="20"/>
        </w:rPr>
        <w:t>in an aggregate outstanding principal amount not exceeding at any time the greater of $</w:t>
      </w:r>
      <w:r>
        <w:rPr>
          <w:rFonts w:ascii="Times New Roman" w:hAnsi="Times New Roman"/>
          <w:strike/>
          <w:color w:val="FF0000"/>
          <w:sz w:val="20"/>
        </w:rPr>
        <w:t>47,500,000</w:t>
      </w:r>
      <w:r>
        <w:rPr>
          <w:rFonts w:ascii="Times New Roman" w:hAnsi="Times New Roman"/>
          <w:color w:val="0000FF"/>
          <w:sz w:val="20"/>
          <w:u w:val="single"/>
          <w:bdr w:val="double" w:sz="2" w:space="1" w:color="000000"/>
        </w:rPr>
        <w:t xml:space="preserve">57,000,000 </w:t>
      </w:r>
      <w:r>
        <w:rPr>
          <w:rFonts w:ascii="Times New Roman" w:hAnsi="Times New Roman"/>
          <w:sz w:val="20"/>
        </w:rPr>
        <w:t xml:space="preserve">and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 of Applicable EBITDA</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(s)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(u) the incurrence of Indebtedness (including, but not limited to, Permitted Supply Chain Financing, accounts receivable financing arrangements and invoice factoring arrangements) or Disqualified Stock by Restricted Subsidiaries of the Company that are not Guarantors to fund working capital requirements in an aggregate principal amount or liquidation preference that, when aggregated with the principal amount and liquidation preference of all other Indebtedness and Disqualified Stock then outstanding and incurred or issued, as applicable, pursuant to this clause (u), together with any Refinance Indebtedness in respect thereof (excluding any Incremental Term Loans or additional Revolving Commitments), does not exceed (as of the date such Indebtedness or Disqualified Stock is issued, incurred or otherwise obtained) the greater of (i) $28,500,000 and (ii) 15% of Applicable EBITDA for the most recently ended period of four consecutive fiscal quarters (calculated on a pro forma basis);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(v) the High Yield Notes, so long as, on and as of the date of such issuance </w:t>
      </w:r>
      <w:r>
        <w:rPr>
          <w:rFonts w:ascii="Times New Roman" w:hAnsi="Times New Roman"/>
          <w:color w:val="008000"/>
          <w:sz w:val="20"/>
          <w:u w:val="single"/>
          <w:bdr w:val="double" w:sz="2" w:space="1" w:color="000000"/>
        </w:rPr>
        <w:t xml:space="preserve">the Total Net Leverage Ratio (on a pro forma basis </w:t>
      </w:r>
      <w:r>
        <w:rPr>
          <w:rFonts w:ascii="Times New Roman" w:hAnsi="Times New Roman"/>
          <w:color w:val="0000FF"/>
          <w:sz w:val="20"/>
          <w:u w:val="single"/>
          <w:bdr w:val="double" w:sz="2" w:space="1" w:color="000000"/>
        </w:rPr>
        <w:t xml:space="preserve">(such pro forma calculation to account for the Take-Private Mandatory Prepayment Requirements (i.e., a prepayment of Term Loans in an amount of $195,000,000))) does not exceed 6.00 to 1.00 as of the last day of the most recently ended period of four consecutive fiscal quarters </w:t>
      </w:r>
      <w:r>
        <w:rPr>
          <w:rFonts w:ascii="Times New Roman" w:hAnsi="Times New Roman"/>
          <w:color w:val="008000"/>
          <w:sz w:val="20"/>
          <w:u w:val="single"/>
          <w:bdr w:val="double" w:sz="2" w:space="1" w:color="000000"/>
        </w:rPr>
        <w:t>for which financial statements have been delivered pursuant to Section 5.01(</w:t>
      </w:r>
      <w:r>
        <w:rPr>
          <w:rFonts w:ascii="Times New Roman" w:hAnsi="Times New Roman"/>
          <w:color w:val="0000FF"/>
          <w:sz w:val="20"/>
          <w:u w:val="single"/>
          <w:bdr w:val="double" w:sz="2" w:space="1" w:color="000000"/>
        </w:rPr>
        <w:t>a) or (b).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Liens</w:t>
      </w:r>
      <w:r>
        <w:rPr>
          <w:rFonts w:ascii="Times New Roman" w:hAnsi="Times New Roman"/>
          <w:sz w:val="20"/>
        </w:rPr>
        <w:t xml:space="preserve">. No Loan Party will, nor will it permit any Restricted Subsidiary to, create, incur, assume or permit to exist any Lien on any property or asset now owned or hereafter acquired by it, or assign or sell any income or revenues (including Accounts) or rights in respect of any thereof,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created pursuant to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(b)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(c) any Lien on any property or asset of any Borrower or any Restricted Subsidiary existing on the date hereof and set forth in </w:t>
      </w:r>
      <w:r>
        <w:rPr>
          <w:rFonts w:ascii="Times New Roman" w:hAnsi="Times New Roman"/>
          <w:sz w:val="20"/>
          <w:u w:val="single"/>
        </w:rPr>
        <w:t>Schedule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 shall not apply to any other property or asset of such Borrower or Restricted Subsidiary or any other Borrower or Restricted Subsidiary and (ii) such Lien shall secure only those obligations which it secures on the date hereof and extensions, renewals and replacements thereof that do not increase the outstanding principal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(d) any Lien existing on any property or asset prior to the acquisition thereof by any Loan Party or any Restricted Subsidiary or existing on any property or asset of any Person that becomes a Restricted Subsidiary (other than in connection with any designation of an Unrestricted Subsidiary as a Restricted Subsidiary) after the date hereof prior to the time such Person becomes a Restricted Subsidiary;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or such Person becoming a Restricted Subsidiary, as the case may be, (ii) such Lien shall not apply to any other property or assets of any Loan Party or Restricted Subsidiary and (iii) such Lien shall secure only those obligations which it secures on the date of such acquisition or the date such Person becomes a Restricted Subsidiary, as the case may be, and extensions, renewals and replacements thereof that do not increase the outstanding principal amount thereof; </w:t>
      </w:r>
    </w:p>
    <w:p>
      <w:pPr>
        <w:pStyle w:val="TextBody"/>
        <w:bidi w:val="0"/>
        <w:spacing w:before="120" w:after="0"/>
        <w:jc w:val="left"/>
        <w:rPr>
          <w:rFonts w:ascii="Times New Roman" w:hAnsi="Times New Roman"/>
          <w:sz w:val="20"/>
        </w:rPr>
      </w:pPr>
      <w:r>
        <w:rPr>
          <w:rFonts w:ascii="Times New Roman" w:hAnsi="Times New Roman"/>
          <w:sz w:val="20"/>
        </w:rPr>
        <w:t xml:space="preserve">(e) Liens of a collecting bank arising in the ordinary course of business under Section 4-210 of the UCC (or similar provision of the PPSA) in effect in the relevant jurisdiction covering only the items being collected upon and banker’s Liens and customary contractual rights of setoff arising in the ordinary course of business with respect to funds and securities in accounts maintained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with banks or other financial institutions and not given in connection with the incurrence of Indebtedness; </w:t>
      </w:r>
    </w:p>
    <w:p>
      <w:pPr>
        <w:pStyle w:val="TextBody"/>
        <w:bidi w:val="0"/>
        <w:spacing w:before="120" w:after="0"/>
        <w:jc w:val="left"/>
        <w:rPr>
          <w:rFonts w:ascii="Times New Roman" w:hAnsi="Times New Roman"/>
          <w:sz w:val="20"/>
        </w:rPr>
      </w:pPr>
      <w:r>
        <w:rPr>
          <w:rFonts w:ascii="Times New Roman" w:hAnsi="Times New Roman"/>
          <w:sz w:val="20"/>
        </w:rPr>
        <w:t xml:space="preserve">(f) Liens arising out of Sale and Leaseback Transactions permitted by Section 6.06; </w:t>
      </w:r>
    </w:p>
    <w:p>
      <w:pPr>
        <w:pStyle w:val="TextBody"/>
        <w:bidi w:val="0"/>
        <w:spacing w:before="120" w:after="0"/>
        <w:jc w:val="left"/>
        <w:rPr>
          <w:rFonts w:ascii="Times New Roman" w:hAnsi="Times New Roman"/>
          <w:sz w:val="20"/>
        </w:rPr>
      </w:pPr>
      <w:r>
        <w:rPr>
          <w:rFonts w:ascii="Times New Roman" w:hAnsi="Times New Roman"/>
          <w:sz w:val="20"/>
        </w:rPr>
        <w:t xml:space="preserve">(g) Liens granted by a Restricted Subsidiary that is not a Loan Party in favor of a Borrower or another Loan Party in respect of Indebtedness owed by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(h) 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Liens arising out of conditional sale, title retention, consignment or similar arrangements for sale of goods entered into by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or any Restricted Subsidiaries in the ordinary course of business; </w:t>
      </w:r>
      <w:r>
        <w:rPr>
          <w:rFonts w:ascii="Times New Roman" w:hAnsi="Times New Roman"/>
          <w:sz w:val="20"/>
          <w:u w:val="single"/>
        </w:rPr>
        <w:t>provided</w:t>
      </w:r>
      <w:r>
        <w:rPr>
          <w:rFonts w:ascii="Times New Roman" w:hAnsi="Times New Roman"/>
          <w:sz w:val="20"/>
        </w:rPr>
        <w:t xml:space="preserve"> that such Lien shall not apply to any other property or assets of any Loan Party or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Liens on fixed or capital assets acquired, constructed or improved by the Company or any Restricted Subsidiary; provided that (i) such Liens secure Indebtedness permitted by Section 6.01(p), (ii) such Liens and the Indebtedness secured thereby are incurred prior to or within 180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(k) (i) Liens granted by such Person under workmen’s compensation laws, health, disability or unemployment insurance laws, other employee benefit legislation, unemployment insurance legislation and similar legislation, or good faith deposits in connection with bids, tenders, contracts (other than for the payment of Indebtedness), leases or other obligations of a like nature to which such Person is a party, or Liens granted to secure public or statutory obligations of such Person or deposits of cash or U.S. government bonds to secure surety, stay, customs, performance or appeal bonds to which such Person is a party, or deposits as security for the payment of rent or deposits made to secure obligations arising from contractual or warranty refunds or requirements, in each case, incurred in the ordinary course of business, and (ii) Liens securing letters of credit or bankers acceptances issued, and letters of credit or bank guaranties provided to support payment of the items in the foregoing clause (k)(i); </w:t>
      </w:r>
    </w:p>
    <w:p>
      <w:pPr>
        <w:pStyle w:val="TextBody"/>
        <w:bidi w:val="0"/>
        <w:spacing w:before="120" w:after="0"/>
        <w:jc w:val="left"/>
        <w:rPr>
          <w:rFonts w:ascii="Times New Roman" w:hAnsi="Times New Roman"/>
          <w:sz w:val="20"/>
        </w:rPr>
      </w:pPr>
      <w:r>
        <w:rPr>
          <w:rFonts w:ascii="Times New Roman" w:hAnsi="Times New Roman"/>
          <w:sz w:val="20"/>
        </w:rPr>
        <w:t xml:space="preserve">(l) leases, franchises, grants, subleases, licenses, sublicenses, covenants not to sue, releases, consents and other forms of license (in each case, on a non-exclusive basis to the extent applicable to any intellectual property) granted to others in the ordinary course of business which do not materially interfere with the ordinary conduct of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and do not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(m) Liens arising from UCC or any similar financing statement filings regarding operating leases or consignments entered into by the Company or any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purported Liens (other than Liens securing Indebtedness for borrowed money) incurred in the ordinary course of business and evidenced by the filing of precautionary UCC (or equivalent statute) financing statements or similar public filings; </w:t>
      </w:r>
    </w:p>
    <w:p>
      <w:pPr>
        <w:pStyle w:val="TextBody"/>
        <w:bidi w:val="0"/>
        <w:spacing w:before="120" w:after="0"/>
        <w:jc w:val="left"/>
        <w:rPr>
          <w:rFonts w:ascii="Times New Roman" w:hAnsi="Times New Roman"/>
          <w:sz w:val="20"/>
        </w:rPr>
      </w:pPr>
      <w:r>
        <w:rPr>
          <w:rFonts w:ascii="Times New Roman" w:hAnsi="Times New Roman"/>
          <w:sz w:val="20"/>
        </w:rPr>
        <w:t xml:space="preserve">(o) Liens (if any) on Accounts sold (or, in the case of any judicial re-characterization of any such sale, granted as collateral to secure financing) </w:t>
      </w:r>
      <w:r>
        <w:rPr>
          <w:rFonts w:ascii="Times New Roman" w:hAnsi="Times New Roman"/>
          <w:color w:val="0000FF"/>
          <w:sz w:val="20"/>
          <w:u w:val="single"/>
          <w:bdr w:val="double" w:sz="2" w:space="1" w:color="000000"/>
        </w:rPr>
        <w:t xml:space="preserve">by the Company or any Restricted Subsidiary </w:t>
      </w:r>
      <w:r>
        <w:rPr>
          <w:rFonts w:ascii="Times New Roman" w:hAnsi="Times New Roman"/>
          <w:sz w:val="20"/>
        </w:rPr>
        <w:t xml:space="preserve">pursuant to any Permitted Supply Chain Financings; </w:t>
      </w:r>
    </w:p>
    <w:p>
      <w:pPr>
        <w:pStyle w:val="TextBody"/>
        <w:bidi w:val="0"/>
        <w:spacing w:before="120" w:after="0"/>
        <w:jc w:val="left"/>
        <w:rPr>
          <w:rFonts w:ascii="Times New Roman" w:hAnsi="Times New Roman"/>
          <w:sz w:val="20"/>
        </w:rPr>
      </w:pPr>
      <w:r>
        <w:rPr>
          <w:rFonts w:ascii="Times New Roman" w:hAnsi="Times New Roman"/>
          <w:sz w:val="20"/>
        </w:rPr>
        <w:t xml:space="preserve">(p) Liens on the Collateral securing Indebtedness and other obligations permitted under Section 6.01(q)(i)(A) or (B); </w:t>
      </w:r>
      <w:r>
        <w:rPr>
          <w:rFonts w:ascii="Times New Roman" w:hAnsi="Times New Roman"/>
          <w:sz w:val="20"/>
          <w:u w:val="single"/>
        </w:rPr>
        <w:t>provided</w:t>
      </w:r>
      <w:r>
        <w:rPr>
          <w:rFonts w:ascii="Times New Roman" w:hAnsi="Times New Roman"/>
          <w:sz w:val="20"/>
        </w:rPr>
        <w:t xml:space="preserve"> that in all cases such Liens shall be subject to an Applicable Intercreditor Agreement having the lien priority required by Section 6.01(q)(i)(A) or (B), as applicable; and </w:t>
      </w:r>
    </w:p>
    <w:p>
      <w:pPr>
        <w:pStyle w:val="TextBody"/>
        <w:bidi w:val="0"/>
        <w:spacing w:before="120" w:after="0"/>
        <w:jc w:val="left"/>
        <w:rPr>
          <w:rFonts w:ascii="Times New Roman" w:hAnsi="Times New Roman"/>
          <w:sz w:val="20"/>
        </w:rPr>
      </w:pPr>
      <w:r>
        <w:rPr>
          <w:rFonts w:ascii="Times New Roman" w:hAnsi="Times New Roman"/>
          <w:sz w:val="20"/>
        </w:rPr>
        <w:t xml:space="preserve">(q) other Liens securing obligations </w:t>
      </w:r>
      <w:r>
        <w:rPr>
          <w:rFonts w:ascii="Times New Roman" w:hAnsi="Times New Roman"/>
          <w:color w:val="0000FF"/>
          <w:sz w:val="20"/>
          <w:u w:val="single"/>
          <w:bdr w:val="double" w:sz="2" w:space="1" w:color="000000"/>
        </w:rPr>
        <w:t xml:space="preserve">of the Company or any Restricted Subsidiary </w:t>
      </w:r>
      <w:r>
        <w:rPr>
          <w:rFonts w:ascii="Times New Roman" w:hAnsi="Times New Roman"/>
          <w:sz w:val="20"/>
        </w:rPr>
        <w:t>in an aggregate principal amount at any time outstanding not exceeding the greater of $</w:t>
      </w:r>
      <w:r>
        <w:rPr>
          <w:rFonts w:ascii="Times New Roman" w:hAnsi="Times New Roman"/>
          <w:strike/>
          <w:color w:val="FF0000"/>
          <w:sz w:val="20"/>
        </w:rPr>
        <w:t>47,500,000</w:t>
      </w:r>
      <w:r>
        <w:rPr>
          <w:rFonts w:ascii="Times New Roman" w:hAnsi="Times New Roman"/>
          <w:color w:val="0000FF"/>
          <w:sz w:val="20"/>
          <w:u w:val="single"/>
          <w:bdr w:val="double" w:sz="2" w:space="1" w:color="000000"/>
        </w:rPr>
        <w:t>57,000,000</w:t>
      </w:r>
      <w:r>
        <w:rPr>
          <w:rFonts w:ascii="Times New Roman" w:hAnsi="Times New Roman"/>
          <w:sz w:val="20"/>
        </w:rPr>
        <w:t xml:space="preserve"> and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of Applicable EBITDA.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Fundamental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Loan Party will, nor will it permit any Restricted Subsidiary to, merge into or consolidate with any other Person, or permit any other Person to merge or amalgamate into or consolidate with it, or otherwise Dispose of all or substantially all of its assets, or all or substantially all of the stock of any of its Restricted Subsidiaries (in each case, whether now owned or hereafter acquired), or liquidate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dissolve, except that, if at the time thereof and immediately after giving effect thereto no Event of Default shall have occurred and be continuing or would result therefrom, (i) any Canadian Subsidiary of any Borrower may merge into a Borrower in a transaction in which a Borrower is the surviving entity (</w:t>
      </w:r>
      <w:r>
        <w:rPr>
          <w:rFonts w:ascii="Times New Roman" w:hAnsi="Times New Roman"/>
          <w:sz w:val="20"/>
          <w:u w:val="single"/>
        </w:rPr>
        <w:t>provided</w:t>
      </w:r>
      <w:r>
        <w:rPr>
          <w:rFonts w:ascii="Times New Roman" w:hAnsi="Times New Roman"/>
          <w:sz w:val="20"/>
        </w:rPr>
        <w:t xml:space="preserve"> that any such transaction involving a U.S. Borrower shall result in a U.S. Borrower as the surviving entity), (ii) any U.S. Subsidiary of any Borrower may merge into a U.S. Borrower in a transaction in which a U.S. Borrower is the surviving entity, (iii) any Canadian Loan Party (other than any Borrower) may merge into any other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in a transaction in which the surviving entity is a Loan Party (</w:t>
      </w:r>
      <w:r>
        <w:rPr>
          <w:rFonts w:ascii="Times New Roman" w:hAnsi="Times New Roman"/>
          <w:sz w:val="20"/>
          <w:u w:val="single"/>
        </w:rPr>
        <w:t>provided</w:t>
      </w:r>
      <w:r>
        <w:rPr>
          <w:rFonts w:ascii="Times New Roman" w:hAnsi="Times New Roman"/>
          <w:sz w:val="20"/>
        </w:rPr>
        <w:t xml:space="preserve"> that any such transaction involving a U.S. Loan Party shall result in a U.S. Loan Party as the surviving entity), (iv) any U.S. Loan Party (other than any Borrower) may merge into any other U.S.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in a transaction in which the surviving entity is a U.S. Loan Party and (v) any Restricted Subsidiary that is not a Loan Party may liquidate or dissolve if the Borrowers determine in good faith that such liquidation or dissolution is in the best interests of the Borrowers and is not materially disadvantageous to the Lenders; </w:t>
      </w:r>
      <w:r>
        <w:rPr>
          <w:rFonts w:ascii="Times New Roman" w:hAnsi="Times New Roman"/>
          <w:sz w:val="20"/>
          <w:u w:val="single"/>
        </w:rPr>
        <w:t>provided</w:t>
      </w:r>
      <w:r>
        <w:rPr>
          <w:rFonts w:ascii="Times New Roman" w:hAnsi="Times New Roman"/>
          <w:sz w:val="20"/>
        </w:rPr>
        <w:t xml:space="preserve"> that any such merger involving a Person that is not a wholly owned Restricted Subsidiary immediately prior to such merger shall not be permitted unless also permitted by Section 6.04. </w:t>
      </w:r>
    </w:p>
    <w:p>
      <w:pPr>
        <w:pStyle w:val="TextBody"/>
        <w:bidi w:val="0"/>
        <w:spacing w:before="120" w:after="0"/>
        <w:jc w:val="left"/>
        <w:rPr>
          <w:rFonts w:ascii="Times New Roman" w:hAnsi="Times New Roman"/>
          <w:sz w:val="20"/>
        </w:rPr>
      </w:pPr>
      <w:r>
        <w:rPr>
          <w:rFonts w:ascii="Times New Roman" w:hAnsi="Times New Roman"/>
          <w:sz w:val="20"/>
        </w:rPr>
        <w:t xml:space="preserve">(b) No Loan Party will, nor will it permit any Restricted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that is a Material Subsidiary shall be required to comply with the obligations set forth in Section 5.13 and the other further assurances obligations set forth in the Loan Documents and become a Loan Party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(c) No Loan Party will, nor will it permit any Restricted Subsidiary to, engage in any business other than businesses of the type conducted by the Loan Parties and their Restricted Subsidiaries on the date hereof and businesses reasonably related thereto and reasonable extensions thereof. </w:t>
      </w:r>
    </w:p>
    <w:p>
      <w:pPr>
        <w:pStyle w:val="TextBody"/>
        <w:bidi w:val="0"/>
        <w:spacing w:before="120" w:after="0"/>
        <w:jc w:val="left"/>
        <w:rPr>
          <w:rFonts w:ascii="Times New Roman" w:hAnsi="Times New Roman"/>
          <w:sz w:val="20"/>
        </w:rPr>
      </w:pPr>
      <w:r>
        <w:rPr>
          <w:rFonts w:ascii="Times New Roman" w:hAnsi="Times New Roman"/>
          <w:sz w:val="20"/>
        </w:rPr>
        <w:t xml:space="preserve">(d) No Loan Party will, nor will it permit any Restricted Subsidiary to change its fiscal year or any fiscal quarter from the basis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No Loan Party will change the accounting basis upon which its financial statements are prepared, except as required by GAAP or directed by the SEC. </w:t>
      </w:r>
    </w:p>
    <w:p>
      <w:pPr>
        <w:pStyle w:val="TextBody"/>
        <w:bidi w:val="0"/>
        <w:spacing w:before="120" w:after="0"/>
        <w:jc w:val="left"/>
        <w:rPr>
          <w:rFonts w:ascii="Times New Roman" w:hAnsi="Times New Roman"/>
          <w:sz w:val="20"/>
        </w:rPr>
      </w:pPr>
      <w:r>
        <w:rPr>
          <w:rFonts w:ascii="Times New Roman" w:hAnsi="Times New Roman"/>
          <w:sz w:val="20"/>
        </w:rPr>
        <w:t xml:space="preserve">(f) No Loan Party will change the tax filing elections it has made under the Code. </w:t>
      </w:r>
    </w:p>
    <w:p>
      <w:pPr>
        <w:pStyle w:val="TextBody"/>
        <w:bidi w:val="0"/>
        <w:spacing w:before="120" w:after="0"/>
        <w:jc w:val="left"/>
        <w:rPr>
          <w:rFonts w:ascii="Times New Roman" w:hAnsi="Times New Roman"/>
          <w:sz w:val="20"/>
        </w:rPr>
      </w:pPr>
      <w:r>
        <w:rPr>
          <w:rFonts w:ascii="Times New Roman" w:hAnsi="Times New Roman"/>
          <w:sz w:val="20"/>
        </w:rPr>
        <w:t xml:space="preserve">(g) No Loan Party will, nor will it permit any Restricted Subsidiary to, contribute to or assume or cause an obligation to contribute to or have any liability under any Canadian Defined Benefit Pension Plan or acquire an interest in any Person that sponsors, maintains or contributes to or at any time in the five-year period preceding such acquisition has sponsored, maintained, or contributed to a Canadian Defined Benefit Pension Plan, without the prior written consent of the Administrative Agent, which consent shall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Investments, Loans, Advances, Guarantees and Acquisitions</w:t>
      </w:r>
      <w:r>
        <w:rPr>
          <w:rFonts w:ascii="Times New Roman" w:hAnsi="Times New Roman"/>
          <w:sz w:val="20"/>
        </w:rPr>
        <w:t xml:space="preserve">. No Loan Party will, nor will it permit any Restricted Subsidiary to, form any subsidiary after the Effective Date, or purchase, hold or acquire (including pursuant to any merger or amalgamation with any Person that was not a Loan Party and a wholly owned Restricted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Permitted Investments; </w:t>
      </w:r>
    </w:p>
    <w:p>
      <w:pPr>
        <w:pStyle w:val="TextBody"/>
        <w:bidi w:val="0"/>
        <w:spacing w:before="120" w:after="0"/>
        <w:jc w:val="left"/>
        <w:rPr>
          <w:rFonts w:ascii="Times New Roman" w:hAnsi="Times New Roman"/>
          <w:sz w:val="20"/>
        </w:rPr>
      </w:pPr>
      <w:r>
        <w:rPr>
          <w:rFonts w:ascii="Times New Roman" w:hAnsi="Times New Roman"/>
          <w:sz w:val="20"/>
        </w:rPr>
        <w:t>(b) investments by the Loan Parties in Equity Interests in their respective Restricted Subsidiaries</w:t>
      </w:r>
      <w:r>
        <w:rPr>
          <w:rFonts w:ascii="Times New Roman" w:hAnsi="Times New Roman"/>
          <w:strike/>
          <w:color w:val="FF0000"/>
          <w:sz w:val="20"/>
        </w:rPr>
        <w:t xml:space="preserve"> that are Loan Parties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Equity Interests held by a Loan Party shall be pledged pursuant to the applicable Security Agreement; </w:t>
      </w:r>
      <w:r>
        <w:rPr>
          <w:rFonts w:ascii="Times New Roman" w:hAnsi="Times New Roman"/>
          <w:sz w:val="20"/>
          <w:u w:val="single"/>
        </w:rPr>
        <w:t>provided further</w:t>
      </w:r>
      <w:r>
        <w:rPr>
          <w:rFonts w:ascii="Times New Roman" w:hAnsi="Times New Roman"/>
          <w:sz w:val="20"/>
        </w:rPr>
        <w:t xml:space="preserve"> that the aggregate outstanding amount of investments by U.S. Loan Parties in Restricted Subsidiaries that are not U.S. Loan Parties made after the Effective Date, together with the aggregate principal amount of all outstanding Indebtedness permitted under Section 6.01(b)(iii) and the aggregate amount of Guarantees permitted under Section 6.01(c)(iii), shall not at any time exceed an amount equal to 15% of </w:t>
      </w:r>
      <w:r>
        <w:rPr>
          <w:rFonts w:ascii="Times New Roman" w:hAnsi="Times New Roman"/>
          <w:color w:val="0000FF"/>
          <w:sz w:val="20"/>
          <w:u w:val="single"/>
          <w:bdr w:val="double" w:sz="2" w:space="1" w:color="000000"/>
        </w:rPr>
        <w:t xml:space="preserve">Applicable </w:t>
      </w:r>
      <w:r>
        <w:rPr>
          <w:rFonts w:ascii="Times New Roman" w:hAnsi="Times New Roman"/>
          <w:sz w:val="20"/>
        </w:rPr>
        <w:t>EBITDA</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loans or advances made by any Loan Party to any other Loan Party or Restricted Subsidiary and made by any Restricted Subsidiary that is not a Loan Party to a Loan Party or any other Restricted Subsidiary</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any such loans and advances made by a Loan Party shall be evidenced by a promissory note pledged pursuant to the applicable Security Agreement, </w:t>
      </w:r>
      <w:r>
        <w:rPr>
          <w:rFonts w:ascii="Times New Roman" w:hAnsi="Times New Roman"/>
          <w:strike/>
          <w:color w:val="FF0000"/>
          <w:sz w:val="20"/>
        </w:rPr>
        <w:t xml:space="preserve">and </w:t>
      </w:r>
      <w:r>
        <w:rPr>
          <w:rFonts w:ascii="Times New Roman" w:hAnsi="Times New Roman"/>
          <w:sz w:val="20"/>
        </w:rPr>
        <w:t>(ii) loans and advances by U.S. Loan Parties to Restricted Subsidiaries that are not Loan Parties shall be subject to the terms of Section 6.01(b)(iii), determined without regard to any write-downs or write-offs</w:t>
      </w:r>
      <w:r>
        <w:rPr>
          <w:rFonts w:ascii="Times New Roman" w:hAnsi="Times New Roman"/>
          <w:strike/>
          <w:color w:val="FF0000"/>
          <w:sz w:val="20"/>
        </w:rPr>
        <w:t>.</w:t>
      </w:r>
      <w:r>
        <w:rPr>
          <w:rFonts w:ascii="Times New Roman" w:hAnsi="Times New Roman"/>
          <w:color w:val="0000FF"/>
          <w:sz w:val="20"/>
          <w:u w:val="single"/>
          <w:bdr w:val="double" w:sz="2" w:space="1" w:color="000000"/>
        </w:rPr>
        <w:t>; and (iii) no Loan Party (other than, after the consummation of the Take-Private Transaction, HoldCo) or any Restricted Subsidiary thereof shall make loans or advances to HoldCo except to the extent that such amount could be made to HoldCo as a Restricted Payment pursuant to Section 6.08(a) (it being understood and agreed that each applicable provision of Section 6.08(a) shall be deemed utilized by the outstanding aggregate principal amount of such loans and advances made in reliance on this clause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Guarantees permitted under Section 6.01; </w:t>
      </w:r>
    </w:p>
    <w:p>
      <w:pPr>
        <w:pStyle w:val="TextBody"/>
        <w:bidi w:val="0"/>
        <w:spacing w:before="120" w:after="0"/>
        <w:jc w:val="left"/>
        <w:rPr>
          <w:rFonts w:ascii="Times New Roman" w:hAnsi="Times New Roman"/>
          <w:sz w:val="20"/>
        </w:rPr>
      </w:pPr>
      <w:r>
        <w:rPr>
          <w:rFonts w:ascii="Times New Roman" w:hAnsi="Times New Roman"/>
          <w:sz w:val="20"/>
        </w:rPr>
        <w:t xml:space="preserve">(e) notes payable, or stock or other securities issued by account debtors to a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pursuant to negotiated agreements with respect to settlement of such account debtor’s Accounts in the ordinary course of business,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(f) investments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in the form of Swap Agreements permitted by Section 6.07; </w:t>
      </w:r>
    </w:p>
    <w:p>
      <w:pPr>
        <w:pStyle w:val="TextBody"/>
        <w:bidi w:val="0"/>
        <w:spacing w:before="120" w:after="0"/>
        <w:jc w:val="left"/>
        <w:rPr>
          <w:rFonts w:ascii="Times New Roman" w:hAnsi="Times New Roman"/>
          <w:sz w:val="20"/>
        </w:rPr>
      </w:pPr>
      <w:r>
        <w:rPr>
          <w:rFonts w:ascii="Times New Roman" w:hAnsi="Times New Roman"/>
          <w:sz w:val="20"/>
        </w:rPr>
        <w:t xml:space="preserve">(g) investments constituting deposits described in clauses (c) and (d) of the definition of the term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(h) Permitted Acquisitions; </w:t>
      </w:r>
    </w:p>
    <w:p>
      <w:pPr>
        <w:pStyle w:val="TextBody"/>
        <w:bidi w:val="0"/>
        <w:spacing w:before="120" w:after="0"/>
        <w:jc w:val="left"/>
        <w:rPr>
          <w:rFonts w:ascii="Times New Roman" w:hAnsi="Times New Roman"/>
          <w:sz w:val="20"/>
        </w:rPr>
      </w:pPr>
      <w:r>
        <w:rPr>
          <w:rFonts w:ascii="Times New Roman" w:hAnsi="Times New Roman"/>
          <w:sz w:val="20"/>
        </w:rPr>
        <w:t xml:space="preserve">(i) investments of any Person existing at the time such Person becomes a Restricted Subsidiary (other than in connection with any designation of an Unrestricted Subsidiary as a Restricted Subsidiary) of a Loan Party or consolidates or merges with a Loan Party or any of such party’s Restricted Subsidiaries (including in connection with a Permitted Acquisition), so long as such investments were not made in contemplation of such Person becoming a Restricted Subsidiary or of such merger;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investments in existence on the date hereof and described in </w:t>
      </w:r>
      <w:r>
        <w:rPr>
          <w:rFonts w:ascii="Times New Roman" w:hAnsi="Times New Roman"/>
          <w:sz w:val="20"/>
          <w:u w:val="single"/>
        </w:rPr>
        <w:t>Schedule 6.04</w:t>
      </w:r>
      <w:r>
        <w:rPr>
          <w:rFonts w:ascii="Times New Roman" w:hAnsi="Times New Roman"/>
          <w:sz w:val="20"/>
        </w:rPr>
        <w:t xml:space="preserve">, and investments consisting of any modification, replacement, renewal, refinancing, reinvestment, or extension of any such investment; </w:t>
      </w:r>
      <w:r>
        <w:rPr>
          <w:rFonts w:ascii="Times New Roman" w:hAnsi="Times New Roman"/>
          <w:sz w:val="20"/>
          <w:u w:val="single"/>
        </w:rPr>
        <w:t>provided</w:t>
      </w:r>
      <w:r>
        <w:rPr>
          <w:rFonts w:ascii="Times New Roman" w:hAnsi="Times New Roman"/>
          <w:sz w:val="20"/>
        </w:rPr>
        <w:t xml:space="preserve"> that the amount of any such investment is not increased from the amount of such investment on the Effective Date except pursuant to the terms of such investment (including in respect of any unused commitment), plus any accrued but unpaid interest (including any portion thereof which is payable in kind in accordance with the terms of such modified, extended, renewed, refinanced or replaced investment) and premium payable by the terms of such investment thereon and fees and expenses associated therewith, in each case, as in existence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(l) (i) loans or advances made by a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to (or Guarantees provided on behalf of) its employees on an arms-length basis in the ordinary course of business consistent with past practices for travel and entertainment expenses, relocation costs and similar purposes up to a maximum of </w:t>
      </w:r>
      <w:r>
        <w:rPr>
          <w:rFonts w:ascii="Times New Roman" w:hAnsi="Times New Roman"/>
          <w:color w:val="0000FF"/>
          <w:sz w:val="20"/>
          <w:u w:val="single"/>
          <w:bdr w:val="double" w:sz="2" w:space="1" w:color="000000"/>
        </w:rPr>
        <w:t xml:space="preserve">the greater of (x)  </w:t>
      </w:r>
      <w:r>
        <w:rPr>
          <w:rFonts w:ascii="Times New Roman" w:hAnsi="Times New Roman"/>
          <w:sz w:val="20"/>
        </w:rPr>
        <w:t>$</w:t>
      </w:r>
      <w:r>
        <w:rPr>
          <w:rFonts w:ascii="Times New Roman" w:hAnsi="Times New Roman"/>
          <w:strike/>
          <w:color w:val="FF0000"/>
          <w:sz w:val="20"/>
        </w:rPr>
        <w:t>5,000,000</w:t>
      </w:r>
      <w:r>
        <w:rPr>
          <w:rFonts w:ascii="Times New Roman" w:hAnsi="Times New Roman"/>
          <w:color w:val="0000FF"/>
          <w:sz w:val="20"/>
          <w:u w:val="single"/>
          <w:bdr w:val="double" w:sz="2" w:space="1" w:color="000000"/>
        </w:rPr>
        <w:t>9,500,000 and (y) 5% of Applicable EBITDA</w:t>
      </w:r>
      <w:r>
        <w:rPr>
          <w:rFonts w:ascii="Times New Roman" w:hAnsi="Times New Roman"/>
          <w:sz w:val="20"/>
        </w:rPr>
        <w:t xml:space="preserve"> in the aggregate at any one time outstanding and (ii) non-cash loans made by a Loan Party or any Restricted Subsidiary to officers, directors, governors, managers and employees of any Loan Party or any Restricted Subsidiary, which are used by such Persons to simultaneously purchase Equity Interests (other than Disqualified Stock)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investments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consisting of purchases and acquisitions of inventory, supplies, material, equipment, or other similar assets, or of services,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the non-exclusive licensing of intellectual property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 in the ordinary course of business or (ii) which do not materially interfere with the ordinary conduct of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or any Restricted Subsidiary and do not secure any Indebtedness; </w:t>
      </w:r>
    </w:p>
    <w:p>
      <w:pPr>
        <w:pStyle w:val="TextBody"/>
        <w:bidi w:val="0"/>
        <w:spacing w:before="120" w:after="0"/>
        <w:jc w:val="left"/>
        <w:rPr>
          <w:rFonts w:ascii="Times New Roman" w:hAnsi="Times New Roman"/>
          <w:sz w:val="20"/>
        </w:rPr>
      </w:pPr>
      <w:r>
        <w:rPr>
          <w:rFonts w:ascii="Times New Roman" w:hAnsi="Times New Roman"/>
          <w:sz w:val="20"/>
        </w:rPr>
        <w:t xml:space="preserve">(o) deposits required by any Governmental Authority or public utility, including with respect to Taxes and other similar charges to the extent the applicable obligations would not otherwise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(p) investments in prepaid expenses, negotiable instruments held for collection and lease, utility and workers compensation, performance and similar deposits entered into as a result of the operations of the business,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(q) other investments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in an amount not to exceed the Available Amount immediately prior to the time of the making of such investment, so long as at the time of making such investment and immediately after giving effect (including giving effect on a pro forma basis) thereto, (i) no Event of Default then exists or would result therefrom and (ii) the </w:t>
      </w:r>
      <w:r>
        <w:rPr>
          <w:rFonts w:ascii="Times New Roman" w:hAnsi="Times New Roman"/>
          <w:color w:val="0000FF"/>
          <w:sz w:val="20"/>
          <w:u w:val="single"/>
          <w:bdr w:val="double" w:sz="2" w:space="1" w:color="000000"/>
        </w:rPr>
        <w:t xml:space="preserve">Company (or, after the consummation of the Take-Private Transaction, HoldCo) will be in compliance, on a pro forma basis, with the covenants set forth in Section 6.12 (including any applicable </w:t>
      </w:r>
      <w:r>
        <w:rPr>
          <w:rFonts w:ascii="Times New Roman" w:hAnsi="Times New Roman"/>
          <w:sz w:val="20"/>
        </w:rPr>
        <w:t xml:space="preserve">Total Net Leverage Ratio </w:t>
      </w:r>
      <w:r>
        <w:rPr>
          <w:rFonts w:ascii="Times New Roman" w:hAnsi="Times New Roman"/>
          <w:strike/>
          <w:color w:val="FF0000"/>
          <w:sz w:val="20"/>
        </w:rPr>
        <w:t>is not greater than the ratio that is 0.5 to 1.00 lower than the maximum Total Net Leverage Ratio permitted under Section 6.12</w:t>
      </w:r>
      <w:r>
        <w:rPr>
          <w:rFonts w:ascii="Times New Roman" w:hAnsi="Times New Roman"/>
          <w:color w:val="0000FF"/>
          <w:sz w:val="20"/>
          <w:u w:val="single"/>
          <w:bdr w:val="double" w:sz="2" w:space="1" w:color="000000"/>
        </w:rPr>
        <w:t>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 investments </w:t>
      </w:r>
      <w:r>
        <w:rPr>
          <w:rFonts w:ascii="Times New Roman" w:hAnsi="Times New Roman"/>
          <w:strike/>
          <w:color w:val="FF0000"/>
          <w:sz w:val="20"/>
        </w:rPr>
        <w:t>in</w:t>
      </w:r>
      <w:r>
        <w:rPr>
          <w:rFonts w:ascii="Times New Roman" w:hAnsi="Times New Roman"/>
          <w:color w:val="0000FF"/>
          <w:sz w:val="20"/>
          <w:u w:val="single"/>
          <w:bdr w:val="double" w:sz="2" w:space="1" w:color="000000"/>
        </w:rPr>
        <w:t>by the Company or any of its Restricted Subsidiaries in</w:t>
      </w:r>
      <w:r>
        <w:rPr>
          <w:rFonts w:ascii="Times New Roman" w:hAnsi="Times New Roman"/>
          <w:sz w:val="20"/>
        </w:rPr>
        <w:t xml:space="preserve"> Unrestricted Subsidiaries in aggregate amount not to exceed an amount equal to the greater of $28,500,000 and 15% of Applicable EBITDA during the term of this Agreement;</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 other investments, loans or advances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in an aggregate outstanding amount for all such investments, loans and advances not to exceed at any time an amount equal to the greater of $</w:t>
      </w:r>
      <w:r>
        <w:rPr>
          <w:rFonts w:ascii="Times New Roman" w:hAnsi="Times New Roman"/>
          <w:strike/>
          <w:color w:val="FF0000"/>
          <w:sz w:val="20"/>
        </w:rPr>
        <w:t>47,500,000</w:t>
      </w:r>
      <w:r>
        <w:rPr>
          <w:rFonts w:ascii="Times New Roman" w:hAnsi="Times New Roman"/>
          <w:color w:val="0000FF"/>
          <w:sz w:val="20"/>
          <w:u w:val="single"/>
          <w:bdr w:val="double" w:sz="2" w:space="1" w:color="000000"/>
        </w:rPr>
        <w:t>57,000,000</w:t>
      </w:r>
      <w:r>
        <w:rPr>
          <w:rFonts w:ascii="Times New Roman" w:hAnsi="Times New Roman"/>
          <w:sz w:val="20"/>
        </w:rPr>
        <w:t xml:space="preserve"> and </w:t>
      </w:r>
      <w:r>
        <w:rPr>
          <w:rFonts w:ascii="Times New Roman" w:hAnsi="Times New Roman"/>
          <w:strike/>
          <w:color w:val="FF0000"/>
          <w:sz w:val="20"/>
        </w:rPr>
        <w:t>25</w:t>
      </w:r>
      <w:r>
        <w:rPr>
          <w:rFonts w:ascii="Times New Roman" w:hAnsi="Times New Roman"/>
          <w:color w:val="0000FF"/>
          <w:sz w:val="20"/>
          <w:u w:val="single"/>
          <w:bdr w:val="double" w:sz="2" w:space="1" w:color="000000"/>
        </w:rPr>
        <w:t>30</w:t>
      </w:r>
      <w:r>
        <w:rPr>
          <w:rFonts w:ascii="Times New Roman" w:hAnsi="Times New Roman"/>
          <w:sz w:val="20"/>
        </w:rPr>
        <w:t xml:space="preserve">% of Applicable EBITDA, in each case, determined at the time such investment, loan or advance is made; </w:t>
      </w:r>
      <w:r>
        <w:rPr>
          <w:rFonts w:ascii="Times New Roman" w:hAnsi="Times New Roman"/>
          <w:sz w:val="20"/>
          <w:u w:val="single"/>
        </w:rPr>
        <w:t>provided</w:t>
      </w:r>
      <w:r>
        <w:rPr>
          <w:rFonts w:ascii="Times New Roman" w:hAnsi="Times New Roman"/>
          <w:sz w:val="20"/>
        </w:rPr>
        <w:t xml:space="preserve"> that before and immediately after giving effect to such investment, loan or advance, no Event of Default has occurred and is continuing or would result therefrom</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color w:val="0000FF"/>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 investments necessary to consummate the Take-Private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(u) investments constituting promissory notes or other non-cash proceeds of Dispositions to the extent permitted under Section 6.05;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any investment acquired by any Borrower or any Restricted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in exchange for any other investment, accounts receivable or indorsements for collection or deposit held by any Borrower or any Restricted Subsidiary in connection with or as a result of a bankruptcy, workout, reorganization or recapitalization of, or settlement of delinquent accounts and disputes with or judgments against, the issuer of such other investment or accounts receivable (including any trade creditor or 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in satisfaction of judgments against other Persons;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as a result of a foreclosure by any Borrower or any Restricted Subsidiary with respect to any secured investment or other transfer of title with respect to any secured investment in default; 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(iv) as a result of the settlement, compromise or resolution of (A) litigation, arbitration or other disputes or (B) obligations of trade creditors or customers that were incurred in the ordinary course of business or consistent with industry practice of any Borrower or any Restricted Subsidiary;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(w) advances, loans or extensions of trade credit or prepayments to suppliers or loans or advances made to distributors, in each case, in the ordinary course of business or consistent with past practice or consistent with industry practice by any Borrower or any Restricted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Investment at any time shall be the amount actually invested, without adjustment for subsequent increases or decreases in the value of such Investment, but in each case, net of any return in respect thereof, including dividends, interest, distributions, returns of principal, profits on sale, repayments, income and similar amounts (not to exceed the amount initially invested).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definition of “Unrestricted Subsidiary” and the covenants described under Section 5.15 and under this Section 6.04: (x) “investments” shall include the portion (proportionate to the Company’s or the applicable Restricted Subsidiary’s Equity Interests in such Subsidiary) of the fair market value of the net assets of a Subsidiary at the time that such Subsidiary is designated an Unrestricted Subsidiary; </w:t>
      </w:r>
      <w:r>
        <w:rPr>
          <w:rFonts w:ascii="Times New Roman" w:hAnsi="Times New Roman"/>
          <w:sz w:val="20"/>
          <w:u w:val="single"/>
        </w:rPr>
        <w:t>provided</w:t>
      </w:r>
      <w:r>
        <w:rPr>
          <w:rFonts w:ascii="Times New Roman" w:hAnsi="Times New Roman"/>
          <w:sz w:val="20"/>
        </w:rPr>
        <w:t xml:space="preserve">, that upon a re-designation of such Subsidiary as a Restricted Subsidiary, the Company (or the applicable Restricted Subsidiary owning such re-designated Subsidiary) shall be deemed to continue to have a permanent “investment” in an Unrestricted Subsidiary in an amount (if positive) equal to (A) the Company’s or such Restricted Subsidiary’s “investment” in such Subsidiary at the time of such re-designation, less (B) the portion (proportionate to the Company’s or the applicable Restricted Subsidiary’s Equity Interests in such Subsidiary) of the fair market value of the net assets of such Subsidiary at the time of such re-designation; and (y) any property transferred to or from an Unrestricted Subsidiary shall be valued at its fair market value at the time of such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Agreement, in no event shall any Loan Party or any Restricted Subsidiary make investments in or transfer any property to or exclusively license any property (including any intellectual property material to the business of the Loan Parties) (whether pursuant to an investment, a Disposition, a Restricted Payment or other transfer of property) in favor of Unrestricted Subsidiaries other than pursuant to Section 6.04(r); </w:t>
      </w:r>
      <w:r>
        <w:rPr>
          <w:rFonts w:ascii="Times New Roman" w:hAnsi="Times New Roman"/>
          <w:sz w:val="20"/>
          <w:u w:val="single"/>
        </w:rPr>
        <w:t>provided</w:t>
      </w:r>
      <w:r>
        <w:rPr>
          <w:rFonts w:ascii="Times New Roman" w:hAnsi="Times New Roman"/>
          <w:sz w:val="20"/>
        </w:rPr>
        <w:t xml:space="preserve">, that, for purposes of this paragraph (i) upon the making of any such investment, transfer of property or exclusive license of property to any Unrestricted Subsidiary, the basket in Section 6.04(r) shall be reduced in the amount thereof and such capacity shall not thereafter increase, (ii) returns of cash substantially contemporaneously with the original investment, transfer of property or exclusive license of property shall not result in any increase to capacity under Section 6.04(r) and (iii) no other capacity under this Agreement may be reallocated to be used for any investment, transfer of property or exclusive license of property to any Unrestricted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Asset Sales</w:t>
      </w:r>
      <w:r>
        <w:rPr>
          <w:rFonts w:ascii="Times New Roman" w:hAnsi="Times New Roman"/>
          <w:sz w:val="20"/>
        </w:rPr>
        <w:t xml:space="preserve">. No Loan Party will, nor will it permit any Restricted Subsidiary to, Dispose of any asset, including any Equity Interest owned by it, nor will any Loan Party permit any Restricted Subsidiary to issue any additional Equity Interest in such Restricted Subsidiary (other than to another Loan Party or another Restricted Subsidiary in compliance with Section 6.04),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(i) inventory, goods or other assets in the ordinary course of business, (ii) obsolete, negligible, uneconomical, worn out or surplus property, (iii) assets no longer used or useful in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and (iv) other property (including any leasehold property interest) that is no longer economically practical in its business; </w:t>
      </w:r>
    </w:p>
    <w:p>
      <w:pPr>
        <w:pStyle w:val="TextBody"/>
        <w:bidi w:val="0"/>
        <w:spacing w:before="120" w:after="0"/>
        <w:jc w:val="left"/>
        <w:rPr>
          <w:rFonts w:ascii="Times New Roman" w:hAnsi="Times New Roman"/>
          <w:sz w:val="20"/>
        </w:rPr>
      </w:pPr>
      <w:r>
        <w:rPr>
          <w:rFonts w:ascii="Times New Roman" w:hAnsi="Times New Roman"/>
          <w:sz w:val="20"/>
        </w:rPr>
        <w:t xml:space="preserve">(b) Dispositions of assets to any Loan Party </w:t>
      </w:r>
      <w:r>
        <w:rPr>
          <w:rFonts w:ascii="Times New Roman" w:hAnsi="Times New Roman"/>
          <w:color w:val="0000FF"/>
          <w:sz w:val="20"/>
          <w:u w:val="single"/>
          <w:bdr w:val="double" w:sz="2" w:space="1" w:color="000000"/>
        </w:rPr>
        <w:t xml:space="preserve">(other than, after the consummation of the Take-Private Transaction, HoldCo) </w:t>
      </w:r>
      <w:r>
        <w:rPr>
          <w:rFonts w:ascii="Times New Roman" w:hAnsi="Times New Roman"/>
          <w:sz w:val="20"/>
        </w:rPr>
        <w:t xml:space="preserve">or any Restricted Subsidiary, </w:t>
      </w:r>
      <w:r>
        <w:rPr>
          <w:rFonts w:ascii="Times New Roman" w:hAnsi="Times New Roman"/>
          <w:sz w:val="20"/>
          <w:u w:val="single"/>
        </w:rPr>
        <w:t>provided</w:t>
      </w:r>
      <w:r>
        <w:rPr>
          <w:rFonts w:ascii="Times New Roman" w:hAnsi="Times New Roman"/>
          <w:sz w:val="20"/>
        </w:rPr>
        <w:t xml:space="preserve"> that any such sales, transfers or dispositions (i) involving a Restricted Subsidiary that is not a Loan Party or (ii) from a U.S. Loan Party to a Canadian Loan Party or from a Canadian Loan Party to a U.S. Loan Party, in each case, shall be made in compliance with Section 6.09; </w:t>
      </w:r>
    </w:p>
    <w:p>
      <w:pPr>
        <w:pStyle w:val="TextBody"/>
        <w:bidi w:val="0"/>
        <w:spacing w:before="120" w:after="0"/>
        <w:jc w:val="left"/>
        <w:rPr>
          <w:rFonts w:ascii="Times New Roman" w:hAnsi="Times New Roman"/>
          <w:sz w:val="20"/>
        </w:rPr>
      </w:pPr>
      <w:r>
        <w:rPr>
          <w:rFonts w:ascii="Times New Roman" w:hAnsi="Times New Roman"/>
          <w:sz w:val="20"/>
        </w:rPr>
        <w:t xml:space="preserve">(c) Dispositions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Accounts (excluding sales or dispositions in a factoring arrangement) in connection with the compromise, settlement or collection thereof; </w:t>
      </w:r>
    </w:p>
    <w:p>
      <w:pPr>
        <w:pStyle w:val="TextBody"/>
        <w:bidi w:val="0"/>
        <w:spacing w:before="120" w:after="0"/>
        <w:jc w:val="left"/>
        <w:rPr>
          <w:rFonts w:ascii="Times New Roman" w:hAnsi="Times New Roman"/>
          <w:sz w:val="20"/>
        </w:rPr>
      </w:pPr>
      <w:r>
        <w:rPr>
          <w:rFonts w:ascii="Times New Roman" w:hAnsi="Times New Roman"/>
          <w:sz w:val="20"/>
        </w:rPr>
        <w:t xml:space="preserve">(d) Dispositions of cash, Permitted Investments and other investments permitted by clauses (g) and (j) of Section 6.04, Dispositions constituting Liens permitted by Section 6.02, and Dispositions constituting Restricted Payments permitted by Section 6.08; </w:t>
      </w:r>
    </w:p>
    <w:p>
      <w:pPr>
        <w:pStyle w:val="TextBody"/>
        <w:bidi w:val="0"/>
        <w:spacing w:before="120" w:after="0"/>
        <w:jc w:val="left"/>
        <w:rPr>
          <w:rFonts w:ascii="Times New Roman" w:hAnsi="Times New Roman"/>
          <w:sz w:val="20"/>
        </w:rPr>
      </w:pPr>
      <w:r>
        <w:rPr>
          <w:rFonts w:ascii="Times New Roman" w:hAnsi="Times New Roman"/>
          <w:sz w:val="20"/>
        </w:rPr>
        <w:t>(e) (i) Sale and Leaseback Transactions permitted by Section 6.06 and (ii) Dispositions (including Sale and Leaseback Transactions) of real property or other fixed or capital assets acquired by the Borrowers and their Restricted Subsidiaries pursuant to the HISCO Acquisition</w:t>
      </w:r>
      <w:r>
        <w:rPr>
          <w:rFonts w:ascii="Times New Roman" w:hAnsi="Times New Roman"/>
          <w:color w:val="0000FF"/>
          <w:sz w:val="20"/>
          <w:u w:val="single"/>
          <w:bdr w:val="double" w:sz="2" w:space="1" w:color="000000"/>
        </w:rPr>
        <w:t>, either Original Restatement Date Acquisition Agreement or any other Permitted Acquisition</w:t>
      </w:r>
      <w:r>
        <w:rPr>
          <w:rFonts w:ascii="Times New Roman" w:hAnsi="Times New Roman"/>
          <w:sz w:val="20"/>
        </w:rPr>
        <w:t xml:space="preserve"> which are made for fair value and have an aggregate fair market value not to exceed </w:t>
      </w:r>
      <w:r>
        <w:rPr>
          <w:rFonts w:ascii="Times New Roman" w:hAnsi="Times New Roman"/>
          <w:color w:val="008000"/>
          <w:sz w:val="20"/>
          <w:u w:val="single"/>
          <w:bdr w:val="double" w:sz="2" w:space="1" w:color="000000"/>
        </w:rPr>
        <w:t xml:space="preserve">an amount equal to the greater of </w:t>
      </w:r>
      <w:r>
        <w:rPr>
          <w:rFonts w:ascii="Times New Roman" w:hAnsi="Times New Roman"/>
          <w:color w:val="0000FF"/>
          <w:sz w:val="20"/>
          <w:u w:val="single"/>
          <w:bdr w:val="double" w:sz="2" w:space="1" w:color="000000"/>
        </w:rPr>
        <w:t>(x) </w:t>
      </w:r>
      <w:r>
        <w:rPr>
          <w:rFonts w:ascii="Times New Roman" w:hAnsi="Times New Roman"/>
          <w:sz w:val="20"/>
        </w:rPr>
        <w:t>$20,000,000</w:t>
      </w:r>
      <w:r>
        <w:rPr>
          <w:rFonts w:ascii="Times New Roman" w:hAnsi="Times New Roman"/>
          <w:color w:val="0000FF"/>
          <w:sz w:val="20"/>
          <w:u w:val="single"/>
          <w:bdr w:val="double" w:sz="2" w:space="1" w:color="000000"/>
        </w:rPr>
        <w:t xml:space="preserve"> and (y) 25% of Applicable EBITDA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Dispositions resulting from any casualty or any taking under power of eminent domain or by condemnation or similar proceeding of, any property or asset of any Borrower or any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(g) foreclosures, condemnation, expropriation or any similar action on assets or other Dispositions required by a Governmental Authority or casualty or insured damage to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disposition or discount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inventory, accounts receivable, or notes receivable in the ordinary course of business or the conversion of accounts receivable to notes receivable in the ordinary course of business and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 other than in respect of any intellectual property, leases, assignments, subleases, licenses, sublicenses, covenants not to sue, releases, consents and other forms of license (and terminations thereof), in each case,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in the ordinary course of business and which do not materially interfere with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and its Restricted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(j) Dispositions resulting from sales of Accounts </w:t>
      </w:r>
      <w:r>
        <w:rPr>
          <w:rFonts w:ascii="Times New Roman" w:hAnsi="Times New Roman"/>
          <w:color w:val="0000FF"/>
          <w:sz w:val="20"/>
          <w:u w:val="single"/>
          <w:bdr w:val="double" w:sz="2" w:space="1" w:color="000000"/>
        </w:rPr>
        <w:t xml:space="preserve">by the Company or any Restricted Subsidiary </w:t>
      </w:r>
      <w:r>
        <w:rPr>
          <w:rFonts w:ascii="Times New Roman" w:hAnsi="Times New Roman"/>
          <w:sz w:val="20"/>
        </w:rPr>
        <w:t>under Permitted Supply Chain Financings;</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 Dispositions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assets, including Sale and Leaseback Transactions not otherwise permitted by clause (e)(ii) above (other than Equity Interests in (i) a Borrower or (ii) a Restricted Subsidiary (other than any Borrower) unless all Equity Interests in such Restricted Subsidiary are sold) that are not permitted by any other clause of this Section; </w:t>
      </w:r>
      <w:r>
        <w:rPr>
          <w:rFonts w:ascii="Times New Roman" w:hAnsi="Times New Roman"/>
          <w:sz w:val="20"/>
          <w:u w:val="single"/>
        </w:rPr>
        <w:t>provided</w:t>
      </w:r>
      <w:r>
        <w:rPr>
          <w:rFonts w:ascii="Times New Roman" w:hAnsi="Times New Roman"/>
          <w:sz w:val="20"/>
        </w:rPr>
        <w:t xml:space="preserve"> that</w:t>
      </w:r>
      <w:r>
        <w:rPr>
          <w:rFonts w:ascii="Times New Roman" w:hAnsi="Times New Roman"/>
          <w:strike/>
          <w:color w:val="FF0000"/>
          <w:sz w:val="20"/>
        </w:rPr>
        <w:t xml:space="preserve"> the aggregate fair market value of all assets Disposed of in reliance upon this paragraph (k) shall not exceed during any fiscal year of the Company </w:t>
      </w:r>
      <w:r>
        <w:rPr>
          <w:rFonts w:ascii="Times New Roman" w:hAnsi="Times New Roman"/>
          <w:strike/>
          <w:color w:val="008000"/>
          <w:sz w:val="20"/>
        </w:rPr>
        <w:t xml:space="preserve">an amount equal to the greater of </w:t>
      </w:r>
      <w:r>
        <w:rPr>
          <w:rFonts w:ascii="Times New Roman" w:hAnsi="Times New Roman"/>
          <w:strike/>
          <w:color w:val="FF0000"/>
          <w:sz w:val="20"/>
        </w:rPr>
        <w:t xml:space="preserve">$47,500,000 and 25% of Applicable EBITDA; </w:t>
      </w:r>
      <w:r>
        <w:rPr>
          <w:rFonts w:ascii="Times New Roman" w:hAnsi="Times New Roman"/>
          <w:strike/>
          <w:color w:val="FF0000"/>
          <w:sz w:val="20"/>
          <w:u w:val="single"/>
        </w:rPr>
        <w:t>provided</w:t>
      </w:r>
      <w:r>
        <w:rPr>
          <w:rFonts w:ascii="Times New Roman" w:hAnsi="Times New Roman"/>
          <w:strike/>
          <w:color w:val="FF0000"/>
          <w:sz w:val="20"/>
        </w:rPr>
        <w:t xml:space="preserve"> that</w:t>
      </w:r>
      <w:r>
        <w:rPr>
          <w:rFonts w:ascii="Times New Roman" w:hAnsi="Times New Roman"/>
          <w:sz w:val="20"/>
        </w:rPr>
        <w:t xml:space="preserve">, other than as set forth on Schedule 6.05, all Dispositions permitted under this Section 6.05(k) shall be made for fair value and </w:t>
      </w:r>
      <w:r>
        <w:rPr>
          <w:rFonts w:ascii="Times New Roman" w:hAnsi="Times New Roman"/>
          <w:strike/>
          <w:color w:val="FF0000"/>
          <w:sz w:val="20"/>
        </w:rPr>
        <w:t xml:space="preserve">for </w:t>
      </w:r>
      <w:r>
        <w:rPr>
          <w:rFonts w:ascii="Times New Roman" w:hAnsi="Times New Roman"/>
          <w:sz w:val="20"/>
        </w:rPr>
        <w:t xml:space="preserve">at least 75% </w:t>
      </w:r>
      <w:r>
        <w:rPr>
          <w:rFonts w:ascii="Times New Roman" w:hAnsi="Times New Roman"/>
          <w:strike/>
          <w:color w:val="FF0000"/>
          <w:sz w:val="20"/>
        </w:rPr>
        <w:t>cash</w:t>
      </w:r>
      <w:r>
        <w:rPr>
          <w:rFonts w:ascii="Times New Roman" w:hAnsi="Times New Roman"/>
          <w:color w:val="0000FF"/>
          <w:sz w:val="20"/>
          <w:u w:val="single"/>
          <w:bdr w:val="double" w:sz="2" w:space="1" w:color="000000"/>
        </w:rPr>
        <w:t>of the</w:t>
      </w:r>
      <w:r>
        <w:rPr>
          <w:rFonts w:ascii="Times New Roman" w:hAnsi="Times New Roman"/>
          <w:sz w:val="20"/>
        </w:rPr>
        <w:t xml:space="preserve"> consideration</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received shall be in the form of Cash Equivalents;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 Dispositions of Equity Interests in a Borrower or a Restricted Subsidiary made as part of, to effect or resulting from the Take-Private Transaction and to the extent not prohibited by Sections 6.04 or 6.08.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Loan Party or any Restricted Subsidiary shall consummate any transaction that results in the Disposition (whether by way of any Restricted Payment, investment, Lien, sale, conveyance, transfer or other Disposition, and whether in a single transaction or a series of transactions) of intellectual property that is material to the business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and its Restricted Subsidiaries to any Unrestricted Subsidiary or any Restricted Subsidiary that is not a Loan Party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w:t>
      </w:r>
      <w:r>
        <w:rPr>
          <w:rFonts w:ascii="Times New Roman" w:hAnsi="Times New Roman"/>
          <w:color w:val="0000FF"/>
          <w:sz w:val="20"/>
          <w:u w:val="single"/>
          <w:bdr w:val="double" w:sz="2" w:space="1" w:color="000000"/>
        </w:rPr>
        <w:t>provided</w:t>
      </w:r>
      <w:r>
        <w:rPr>
          <w:rFonts w:ascii="Times New Roman" w:hAnsi="Times New Roman"/>
          <w:sz w:val="20"/>
        </w:rPr>
        <w:t xml:space="preserve"> that the Company and its Restricted Subsidiaries may grant non-exclusive licenses of any intellectual property to any Unrestricted Subsidiary or any Restricted Subsidiary that is not a Loan Party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in the ordinary course of business so long as the Company and its Restricted Subsidiaries retain the beneficial ownership and the same rights to use such intellectual property as held prior to such license.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Sale and Leaseback Transactions</w:t>
      </w:r>
      <w:r>
        <w:rPr>
          <w:rFonts w:ascii="Times New Roman" w:hAnsi="Times New Roman"/>
          <w:sz w:val="20"/>
        </w:rPr>
        <w:t>. No Loan Party will, nor will it permit any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hAnsi="Times New Roman"/>
          <w:sz w:val="20"/>
          <w:u w:val="single"/>
        </w:rPr>
        <w:t>Sale and Leaseback Transaction</w:t>
      </w:r>
      <w:r>
        <w:rPr>
          <w:rFonts w:ascii="Times New Roman" w:hAnsi="Times New Roman"/>
          <w:sz w:val="20"/>
        </w:rPr>
        <w:t xml:space="preserve">”), except for any such sale of any fixed or capital assets by any Borrower or any Restricted Subsidiary that is (a) made for cash consideration in an amount not less than the fair value of such fixed or capital asset and (b) is consummated within 180 days after such Borrower or such Restricted Subsidiary acquires or completes the construction of such fixed or capital asset; provided that any Sale and Leaseback Transaction made in reliance on Sections 6.05(e)(ii) or 6.05(k) of this Agreement shall not be subject to this clause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Swap Agreements</w:t>
      </w:r>
      <w:r>
        <w:rPr>
          <w:rFonts w:ascii="Times New Roman" w:hAnsi="Times New Roman"/>
          <w:sz w:val="20"/>
        </w:rPr>
        <w:t xml:space="preserve">. No Loan Party will, nor will it permit any Restricted Subsidiary to, enter into any Swap Agreement, except (a) Swap Agreements entered into to hedge or mitigate risks to which any Loan Party or any Restricted Subsidiary has actual exposure (other than those in respect of Equity Interests of any Loan Party or any Restricted Subsidiary), and (b) Swap Agreements entered into in order to effectively cap, collar or exchange interest rates (from floating to fixed rates, from one floating rate to another floating rate or otherwise) with respect to any interest-bearing liability or investment of any Loan Party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Restricted Payments; Certain Payments of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 Loan Party will, nor will it permit any Restricted Subsidiary to, declare or make, or agree to declare or make, directly or indirectly, any Restricted Payment, or incur any obligation (contingent or otherwise) to do so, except</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w:t>
      </w:r>
      <w:r>
        <w:rPr>
          <w:rFonts w:ascii="Times New Roman" w:hAnsi="Times New Roman"/>
          <w:strike/>
          <w:color w:val="FF0000"/>
          <w:sz w:val="20"/>
        </w:rPr>
        <w:t>(i) </w:t>
      </w:r>
      <w:r>
        <w:rPr>
          <w:rFonts w:ascii="Times New Roman" w:hAnsi="Times New Roman"/>
          <w:sz w:val="20"/>
        </w:rPr>
        <w:t xml:space="preserve">each of the Borrowers may declare and pay dividends with respect to its common stock payable solely in additional shares of its common stock, and, with respect to its preferred stock, payable solely in additional shares of such preferred stock (to the extent permitted to be issued hereunder) or in shares of its common stock,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(ii) </w:t>
      </w:r>
      <w:r>
        <w:rPr>
          <w:rFonts w:ascii="Times New Roman" w:hAnsi="Times New Roman"/>
          <w:strike/>
          <w:color w:val="FF0000"/>
          <w:sz w:val="20"/>
        </w:rPr>
        <w:t>(ii) </w:t>
      </w:r>
      <w:r>
        <w:rPr>
          <w:rFonts w:ascii="Times New Roman" w:hAnsi="Times New Roman"/>
          <w:sz w:val="20"/>
        </w:rPr>
        <w:t xml:space="preserve">Restricted Subsidiaries may declare and pay dividends ratably with respect to their Equity Interests,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(iii) </w:t>
      </w:r>
      <w:r>
        <w:rPr>
          <w:rFonts w:ascii="Times New Roman" w:hAnsi="Times New Roman"/>
          <w:strike/>
          <w:color w:val="FF0000"/>
          <w:sz w:val="20"/>
        </w:rPr>
        <w:t>(iii) </w:t>
      </w:r>
      <w:r>
        <w:rPr>
          <w:rFonts w:ascii="Times New Roman" w:hAnsi="Times New Roman"/>
          <w:sz w:val="20"/>
        </w:rPr>
        <w:t xml:space="preserve">the Loan Parties may make Restricted Payments, pursuant to and in accordance with stock option plans or other benefit plans for management or employees of the Loan Parties and their Restricted Subsidiaries, </w:t>
      </w:r>
      <w:r>
        <w:rPr>
          <w:rFonts w:ascii="Times New Roman" w:hAnsi="Times New Roman"/>
          <w:strike/>
          <w:color w:val="FF0000"/>
          <w:sz w:val="20"/>
        </w:rPr>
        <w:t xml:space="preserve">(iv)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(iv) the Loan Parties and each Restricted Subsidiary may make Restricted Payments in amounts required for the Company, ParentCo, HoldCo, Merger Sub or Sponsor (as applicable) to pay, or cause to be paid, without duplication, any Ownership Payments,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 cash payments, or loans, advances, dividends or distributions to the Company (or, after the consummation of the Take-Private Transaction, HoldCo), in each case to make payments, in lieu of issuing fractional shares in connection with share dividends, share splits, reverse share splits, mergers, consolidations, amalgamations or other business combinations and in connection with the exercise of warrants, options or other securities convertible into or exchangeable for Equity Interests of ParentCo, HoldCo, Merger Sub, the Company, or any Restricted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(vii)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(viii) (A) (I) the payment of Sponsor Management Fees pursuant to the Sponsor Management Agreement, </w:t>
      </w:r>
      <w:r>
        <w:rPr>
          <w:rFonts w:ascii="Times New Roman" w:hAnsi="Times New Roman"/>
          <w:i/>
          <w:color w:val="0000FF"/>
          <w:sz w:val="20"/>
          <w:u w:val="single"/>
          <w:bdr w:val="double" w:sz="2" w:space="1" w:color="000000"/>
        </w:rPr>
        <w:t xml:space="preserve">plus </w:t>
      </w:r>
      <w:r>
        <w:rPr>
          <w:rFonts w:ascii="Times New Roman" w:hAnsi="Times New Roman"/>
          <w:color w:val="0000FF"/>
          <w:sz w:val="20"/>
          <w:u w:val="single"/>
          <w:bdr w:val="double" w:sz="2" w:space="1" w:color="000000"/>
        </w:rPr>
        <w:t xml:space="preserve">(II) any unpaid Sponsor Management Fees accrued in any prior year and not permitted to be paid at such time solely as a result of the following proviso; provided that the Sponsor Management Fees payable under this clause (a)(viii)(A) shall accrue but may not be paid during the continuance of any Event of Default under Sections 7.01(a), (b), (h) or (i) (or if any such Event of Default would result from such payment), which restrictions shall be acknowledged in the Sponsor Management Agreement or otherwise in writing by the Sponsor, and (B) payments in respect of customary indemnification and expense reimbursement obligations under the Sponsor Management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(ix) the Borrowers and the Restricted Subsidiaries (and, after the consummation of the Take-Private Transaction, HoldCo) may make </w:t>
      </w:r>
      <w:r>
        <w:rPr>
          <w:rFonts w:ascii="Times New Roman" w:hAnsi="Times New Roman"/>
          <w:sz w:val="20"/>
        </w:rPr>
        <w:t xml:space="preserve">other Restricted Payments in an amount not to exceed the Available Amount immediately prior to the time of the making of such Restricted Payment, so long as at the time of making such Restricted Payment and immediately after giving effect (including giving effect on a pro forma basis) thereto, (x) no Event of Default then exists or would result therefrom and (y) the Total Net Leverage Ratio is not greater than </w:t>
      </w:r>
      <w:r>
        <w:rPr>
          <w:rFonts w:ascii="Times New Roman" w:hAnsi="Times New Roman"/>
          <w:strike/>
          <w:color w:val="FF0000"/>
          <w:sz w:val="20"/>
        </w:rPr>
        <w:t>the lesser of (A) 2.5 to 1.00 and (B) the ratio that is 0.5 to 1.00 lower than the maximum Total Net Leverage Ratio permitted under Section 6.12 at such time</w:t>
      </w:r>
      <w:r>
        <w:rPr>
          <w:rFonts w:ascii="Times New Roman" w:hAnsi="Times New Roman"/>
          <w:color w:val="0000FF"/>
          <w:sz w:val="20"/>
          <w:u w:val="single"/>
          <w:bdr w:val="double" w:sz="2" w:space="1" w:color="000000"/>
        </w:rPr>
        <w:t>4.25 to 1.00</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(x) </w:t>
      </w:r>
      <w:r>
        <w:rPr>
          <w:rFonts w:ascii="Times New Roman" w:hAnsi="Times New Roman"/>
          <w:strike/>
          <w:color w:val="FF0000"/>
          <w:sz w:val="20"/>
        </w:rPr>
        <w:t>(v) </w:t>
      </w:r>
      <w:r>
        <w:rPr>
          <w:rFonts w:ascii="Times New Roman" w:hAnsi="Times New Roman"/>
          <w:sz w:val="20"/>
        </w:rPr>
        <w:t xml:space="preserve">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may make Restricted Payments not otherwise permitted to be made by this Section 6.08 in an aggregate amount not to exceed</w:t>
      </w:r>
      <w:r>
        <w:rPr>
          <w:rFonts w:ascii="Times New Roman" w:hAnsi="Times New Roman"/>
          <w:strike/>
          <w:color w:val="FF0000"/>
          <w:sz w:val="20"/>
        </w:rPr>
        <w:t xml:space="preserve"> $50,000,000</w:t>
      </w:r>
      <w:r>
        <w:rPr>
          <w:rFonts w:ascii="Times New Roman" w:hAnsi="Times New Roman"/>
          <w:color w:val="0000FF"/>
          <w:sz w:val="20"/>
          <w:u w:val="single"/>
          <w:bdr w:val="double" w:sz="2" w:space="1" w:color="000000"/>
        </w:rPr>
        <w:t>, when combined with the aggregate amount of payments of Indebtedness made pursuant to Section 6.08(b)(vi), the greater of (x) $57,000,000 and (y) 30% of Applicable EBITDA</w:t>
      </w:r>
      <w:r>
        <w:rPr>
          <w:rFonts w:ascii="Times New Roman" w:hAnsi="Times New Roman"/>
          <w:sz w:val="20"/>
        </w:rPr>
        <w:t xml:space="preserve"> during any fiscal year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so long as, in each case, all of the following conditions are satisfied: (x) no </w:t>
      </w:r>
      <w:r>
        <w:rPr>
          <w:rFonts w:ascii="Times New Roman" w:hAnsi="Times New Roman"/>
          <w:color w:val="0000FF"/>
          <w:sz w:val="20"/>
          <w:u w:val="single"/>
          <w:bdr w:val="double" w:sz="2" w:space="1" w:color="000000"/>
        </w:rPr>
        <w:t xml:space="preserve">Event of </w:t>
      </w:r>
      <w:r>
        <w:rPr>
          <w:rFonts w:ascii="Times New Roman" w:hAnsi="Times New Roman"/>
          <w:sz w:val="20"/>
        </w:rPr>
        <w:t xml:space="preserve">Default shall exist immediately prior to or immediately after giving effect to any such Restricted Payment, and (y) after giving effect to such Restricted Payment and any Indebtedness incurred or assumed in connection therewith, on a pro forma basis,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is in compliance with the covenants set forth in Section 6.12 (</w:t>
      </w:r>
      <w:r>
        <w:rPr>
          <w:rFonts w:ascii="Times New Roman" w:hAnsi="Times New Roman"/>
          <w:strike/>
          <w:color w:val="FF0000"/>
          <w:sz w:val="20"/>
        </w:rPr>
        <w:t>without</w:t>
      </w:r>
      <w:r>
        <w:rPr>
          <w:rFonts w:ascii="Times New Roman" w:hAnsi="Times New Roman"/>
          <w:color w:val="0000FF"/>
          <w:sz w:val="20"/>
          <w:u w:val="single"/>
          <w:bdr w:val="double" w:sz="2" w:space="1" w:color="000000"/>
        </w:rPr>
        <w:t>after</w:t>
      </w:r>
      <w:r>
        <w:rPr>
          <w:rFonts w:ascii="Times New Roman" w:hAnsi="Times New Roman"/>
          <w:color w:val="0000FF"/>
          <w:sz w:val="20"/>
        </w:rPr>
        <w:t xml:space="preserve"> </w:t>
      </w:r>
      <w:r>
        <w:rPr>
          <w:rFonts w:ascii="Times New Roman" w:hAnsi="Times New Roman"/>
          <w:sz w:val="20"/>
        </w:rPr>
        <w:t xml:space="preserve">giving effect to any applicable Total Net Leverage Ratio Adjustment); </w:t>
      </w:r>
      <w:r>
        <w:rPr>
          <w:rFonts w:ascii="Times New Roman" w:hAnsi="Times New Roman"/>
          <w:sz w:val="20"/>
          <w:u w:val="single"/>
        </w:rPr>
        <w:t>provided</w:t>
      </w:r>
      <w:r>
        <w:rPr>
          <w:rFonts w:ascii="Times New Roman" w:hAnsi="Times New Roman"/>
          <w:sz w:val="20"/>
        </w:rPr>
        <w:t xml:space="preserve"> that any Restricted Payment made in reliance on this </w:t>
      </w:r>
      <w:r>
        <w:rPr>
          <w:rFonts w:ascii="Times New Roman" w:hAnsi="Times New Roman"/>
          <w:sz w:val="20"/>
          <w:u w:val="single"/>
        </w:rPr>
        <w:t>clause</w:t>
      </w:r>
      <w:r>
        <w:rPr>
          <w:rFonts w:ascii="Times New Roman" w:hAnsi="Times New Roman"/>
          <w:sz w:val="20"/>
        </w:rPr>
        <w:t xml:space="preserve"> (</w:t>
      </w:r>
      <w:r>
        <w:rPr>
          <w:rFonts w:ascii="Times New Roman" w:hAnsi="Times New Roman"/>
          <w:strike/>
          <w:color w:val="FF0000"/>
          <w:sz w:val="20"/>
        </w:rPr>
        <w:t>v</w:t>
      </w:r>
      <w:r>
        <w:rPr>
          <w:rFonts w:ascii="Times New Roman" w:hAnsi="Times New Roman"/>
          <w:color w:val="0000FF"/>
          <w:sz w:val="20"/>
          <w:u w:val="single"/>
          <w:bdr w:val="double" w:sz="2" w:space="1" w:color="000000"/>
        </w:rPr>
        <w:t>x)</w:t>
      </w:r>
      <w:r>
        <w:rPr>
          <w:rFonts w:ascii="Times New Roman" w:hAnsi="Times New Roman"/>
          <w:sz w:val="20"/>
        </w:rPr>
        <w:t xml:space="preserve"> shall not be included in the foregoing dollar limitation if, after giving effect to such Restricted Payment and any Indebtedness incurred or assumed in connection therewith (including on a pro forma basis), the Total Net Leverage Ratio is not greater than </w:t>
      </w:r>
      <w:r>
        <w:rPr>
          <w:rFonts w:ascii="Times New Roman" w:hAnsi="Times New Roman"/>
          <w:strike/>
          <w:color w:val="FF0000"/>
          <w:sz w:val="20"/>
        </w:rPr>
        <w:t>the lesser of (A) 2.5 to 1.00 and (B) the ratio that is 0.5 to 1.00 lower than the maximum Total Net Leverage Ratio permitted under Section 6.12</w:t>
      </w:r>
      <w:r>
        <w:rPr>
          <w:rFonts w:ascii="Times New Roman" w:hAnsi="Times New Roman"/>
          <w:color w:val="0000FF"/>
          <w:sz w:val="20"/>
          <w:u w:val="single"/>
          <w:bdr w:val="double" w:sz="2" w:space="1" w:color="000000"/>
        </w:rPr>
        <w:t>4.00 to 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the foregoing, from and after the consummation of the Take-Private Transaction, no Restricted Payments shall be made pursuant to Section 6.08(a)(ix) or (x) until the Take-Private Mandatory Prepayment Requirements have been fully satisfied.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No Loan Party will, nor will it permit any Restricted Subsidiary to, make or agree to pay or make, directly or indirectly, any payment or other distribution (whether in cash, securities or other property) of or in respect of principal of or interest on any Indebtedness</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secured on a junior lien basis with the Secured Obligations, Subordinated Indebtedness, unsecured Indebtedness,</w:t>
      </w:r>
      <w:r>
        <w:rPr>
          <w:rFonts w:ascii="Times New Roman" w:hAnsi="Times New Roman"/>
          <w:sz w:val="20"/>
        </w:rPr>
        <w:t xml:space="preserve"> or any payment or other distribution (whether in cash, securities or other property), including any sinking fund or similar deposit, on account of the purchase, redemption, retirement, acquisition, cancellation or termination of any Indebtedness</w:t>
      </w:r>
      <w:r>
        <w:rPr>
          <w:rFonts w:ascii="Times New Roman" w:hAnsi="Times New Roman"/>
          <w:color w:val="0000FF"/>
          <w:sz w:val="20"/>
          <w:u w:val="single"/>
          <w:bdr w:val="double" w:sz="2" w:space="1" w:color="000000"/>
        </w:rPr>
        <w:t xml:space="preserve"> (collectively, “Restricted Debt”)</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(i) payment </w:t>
      </w:r>
      <w:r>
        <w:rPr>
          <w:rFonts w:ascii="Times New Roman" w:hAnsi="Times New Roman"/>
          <w:strike/>
          <w:color w:val="FF0000"/>
          <w:sz w:val="20"/>
        </w:rPr>
        <w:t>of Indebtedness created</w:t>
      </w:r>
      <w:r>
        <w:rPr>
          <w:rFonts w:ascii="Times New Roman" w:hAnsi="Times New Roman"/>
          <w:color w:val="0000FF"/>
          <w:sz w:val="20"/>
          <w:u w:val="single"/>
          <w:bdr w:val="double" w:sz="2" w:space="1" w:color="000000"/>
        </w:rPr>
        <w:t>by the Company or any of its Restricted Subsidiaries of Restricted Debt incurred</w:t>
      </w:r>
      <w:r>
        <w:rPr>
          <w:rFonts w:ascii="Times New Roman" w:hAnsi="Times New Roman"/>
          <w:sz w:val="20"/>
        </w:rPr>
        <w:t xml:space="preserve">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payment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regularly scheduled interest and principal payments as and when due in respect of any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permitted under Section 6.01, other than payments in respect of the Subordinated Indebtedness prohibited by the subordination provisions thereof or any provisions of any Applicable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refinancings of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to the extent permitted by Section 6.01;</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payment </w:t>
      </w:r>
      <w:r>
        <w:rPr>
          <w:rFonts w:ascii="Times New Roman" w:hAnsi="Times New Roman"/>
          <w:color w:val="0000FF"/>
          <w:sz w:val="20"/>
          <w:u w:val="single"/>
          <w:bdr w:val="double" w:sz="2" w:space="1" w:color="000000"/>
        </w:rPr>
        <w:t xml:space="preserve">by the Company or any of its Restricted Subsidiaries </w:t>
      </w:r>
      <w:r>
        <w:rPr>
          <w:rFonts w:ascii="Times New Roman" w:hAnsi="Times New Roman"/>
          <w:sz w:val="20"/>
        </w:rPr>
        <w:t xml:space="preserve">of secured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that becomes due as a result of the voluntary sale or transfer of the property or assets securing such </w:t>
      </w:r>
      <w:r>
        <w:rPr>
          <w:rFonts w:ascii="Times New Roman" w:hAnsi="Times New Roman"/>
          <w:strike/>
          <w:color w:val="FF0000"/>
          <w:sz w:val="20"/>
        </w:rPr>
        <w:t>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to the extent such sale or transfer is permitted by the terms of Section 6.05</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 [reserved];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(vi) other payments by the Company or any of its Restricted Subsidiaries of Restricted Debt in an amount not to exceed, when combined with the aggregate amount of Restricted Payments made pursuant to Section 6.08(a)(x), the greater of (A) $57,000,000 and (B) 30% of the Applicable EBITDA for the most recently ended period of four consecutive fiscal quarters (calculated on a pro forma basis) so long as, in each case, all of the following conditions are satisfied: (x) no Event of Default shall exist immediately prior to or immediately after giving effect to any such payment, and (y) after giving effect to such payment and any Indebtedness incurred or assumed in connection therewith, on a pro forma basis, the Company (or, after the consummation of the Take-Private Transaction, HoldCo) is in compliance with the covenants set forth in Section 6.12 (after giving effect to </w:t>
      </w:r>
      <w:r>
        <w:rPr>
          <w:rFonts w:ascii="Times New Roman" w:hAnsi="Times New Roman"/>
          <w:color w:val="008000"/>
          <w:sz w:val="20"/>
          <w:u w:val="single"/>
          <w:bdr w:val="double" w:sz="2" w:space="1" w:color="000000"/>
        </w:rPr>
        <w:t>any applicable Total Net Leverage Ratio Adjustment)</w:t>
      </w:r>
      <w:r>
        <w:rPr>
          <w:rFonts w:ascii="Times New Roman" w:hAnsi="Times New Roman"/>
          <w:color w:val="0000FF"/>
          <w:sz w:val="20"/>
          <w:u w:val="single"/>
          <w:bdr w:val="double" w:sz="2" w:space="1" w:color="000000"/>
        </w:rPr>
        <w:t>; provided that any payment made in reliance on this clause (vi) shall not be included in the foregoing dollar limitation if, after giving effect to such payment and any Indebtedness incurred or assumed in connection therewith (including on a pro forma basis), the Total Net Leverage Ratio is not greater than 4.00 to 1.00;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(vii) other payments by the Company or any of its Restricted Subsidiaries of Restricted Debt in an amount not to exceed the Available Amount immediately prior to the time of the making of such payment, so long as at the time of making such payment and immediately after giving effect (including giving effect on a pro forma basis) thereto, (x) no Event of Default then exists or would result therefrom and (y) the Total Net Leverage Ratio is not greater than 4.25 to 1.00.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Notwithstanding the foregoing, from and after the consummation of the Take-Private Transaction, no payments shall be made pursuant to Section 6.08(b)(vi) or (viii) until the Take-Private Mandatory Prepayment Requirements have been fully satisfied.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Transactions with Affiliates</w:t>
      </w:r>
      <w:r>
        <w:rPr>
          <w:rFonts w:ascii="Times New Roman" w:hAnsi="Times New Roman"/>
          <w:sz w:val="20"/>
        </w:rPr>
        <w:t>. No Loan Party will, nor will it permit any Restricted Subsidiary to, sell, lease or otherwise transfer any property or assets to, or purchase, lease or otherwise acquire any property or assets from, or otherwise engage in any other transactions with, any of its Affiliates</w:t>
      </w:r>
      <w:r>
        <w:rPr>
          <w:rFonts w:ascii="Times New Roman" w:hAnsi="Times New Roman"/>
          <w:color w:val="0000FF"/>
          <w:sz w:val="20"/>
          <w:u w:val="single"/>
          <w:bdr w:val="double" w:sz="2" w:space="1" w:color="000000"/>
        </w:rPr>
        <w:t xml:space="preserve"> involving aggregate payments or consideration in excess of the greater of $9,500,000 and 5% of Applicable EBITDA (calculated on a pro forma basis)</w:t>
      </w:r>
      <w:r>
        <w:rPr>
          <w:rFonts w:ascii="Times New Roman" w:hAnsi="Times New Roman"/>
          <w:sz w:val="20"/>
        </w:rPr>
        <w:t>, except</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transactions that (i) are in the ordinary course of business and (ii) are at prices and on terms and conditions not less favorable to such Loan Party or such Restricted Subsidiary than could be obtained on an arm’s-length basis from unrelated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transactions (i) between or among the U.S. Loan Parties not involving any other Affiliate and (ii) between or among the Canadian Loan Parties not involving any other Affiliate, </w:t>
      </w:r>
    </w:p>
    <w:p>
      <w:pPr>
        <w:pStyle w:val="TextBody"/>
        <w:bidi w:val="0"/>
        <w:spacing w:before="120" w:after="0"/>
        <w:jc w:val="left"/>
        <w:rPr>
          <w:rFonts w:ascii="Times New Roman" w:hAnsi="Times New Roman"/>
          <w:sz w:val="20"/>
        </w:rPr>
      </w:pPr>
      <w:r>
        <w:rPr>
          <w:rFonts w:ascii="Times New Roman" w:hAnsi="Times New Roman"/>
          <w:sz w:val="20"/>
        </w:rPr>
        <w:t>(c) any investment permitted by Sections 6.04(b), 6.04(c)</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6.04(d), </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6.04(i), 6.04(k), 6.04(l), 6.04(r) or 6.04(t),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w:t>
      </w:r>
      <w:r>
        <w:rPr>
          <w:rFonts w:ascii="Times New Roman" w:hAnsi="Times New Roman"/>
          <w:sz w:val="20"/>
        </w:rPr>
        <w:t xml:space="preserve">d) any Indebtedness permitted under </w:t>
      </w:r>
      <w:r>
        <w:rPr>
          <w:rFonts w:ascii="Times New Roman" w:hAnsi="Times New Roman"/>
          <w:strike/>
          <w:color w:val="FF0000"/>
          <w:sz w:val="20"/>
        </w:rPr>
        <w:t>Section</w:t>
      </w:r>
      <w:r>
        <w:rPr>
          <w:rFonts w:ascii="Times New Roman" w:hAnsi="Times New Roman"/>
          <w:color w:val="0000FF"/>
          <w:sz w:val="20"/>
          <w:u w:val="single"/>
          <w:bdr w:val="double" w:sz="2" w:space="1" w:color="000000"/>
        </w:rPr>
        <w:t>Sections</w:t>
      </w:r>
      <w:r>
        <w:rPr>
          <w:rFonts w:ascii="Times New Roman" w:hAnsi="Times New Roman"/>
          <w:sz w:val="20"/>
        </w:rPr>
        <w:t xml:space="preserve"> 6.01(b)</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6.01(c)</w:t>
      </w:r>
      <w:r>
        <w:rPr>
          <w:rFonts w:ascii="Times New Roman" w:hAnsi="Times New Roman"/>
          <w:color w:val="0000FF"/>
          <w:sz w:val="20"/>
          <w:u w:val="single"/>
          <w:bdr w:val="double" w:sz="2" w:space="1" w:color="000000"/>
        </w:rPr>
        <w:t xml:space="preserve"> or 6.01(u)</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any Restricted Payment permitted by Section 6.08, </w:t>
      </w:r>
    </w:p>
    <w:p>
      <w:pPr>
        <w:pStyle w:val="TextBody"/>
        <w:bidi w:val="0"/>
        <w:spacing w:before="120" w:after="0"/>
        <w:jc w:val="left"/>
        <w:rPr>
          <w:rFonts w:ascii="Times New Roman" w:hAnsi="Times New Roman"/>
          <w:sz w:val="20"/>
        </w:rPr>
      </w:pPr>
      <w:r>
        <w:rPr>
          <w:rFonts w:ascii="Times New Roman" w:hAnsi="Times New Roman"/>
          <w:sz w:val="20"/>
        </w:rPr>
        <w:t xml:space="preserve">(f) the payment of reasonable fees to directors of any Loan Party or any Restricted Subsidiary who are not employees of such Loan Party or any Restricted Subsidiary, and compensation and employee benefit arrangements paid to, and indemnities provided for the benefit of, directors, officers or employees of the Loan Parties or their Restricted Subsidiaries in the ordinary course of business, </w:t>
      </w:r>
      <w:r>
        <w:rPr>
          <w:rFonts w:ascii="Times New Roman" w:hAnsi="Times New Roman"/>
          <w:strike/>
          <w:color w:val="FF0000"/>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(g) any issuances of securities or other payments, awards or grants in cash, securities or otherwise pursuant to, or the funding of, employment agreements, stock options and stock ownership plans approved by a Loan Party’s board of directors</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(h) transactions necessary to consummate the Take-Private Transaction,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(i) notwithstanding and without reference to the Dollar </w:t>
      </w:r>
      <w:r>
        <w:rPr>
          <w:rFonts w:ascii="Times New Roman" w:hAnsi="Times New Roman"/>
          <w:i/>
          <w:color w:val="0000FF"/>
          <w:sz w:val="20"/>
          <w:u w:val="single"/>
          <w:bdr w:val="double" w:sz="2" w:space="1" w:color="000000"/>
        </w:rPr>
        <w:t>de minimis</w:t>
      </w:r>
      <w:r>
        <w:rPr>
          <w:rFonts w:ascii="Times New Roman" w:hAnsi="Times New Roman"/>
          <w:color w:val="0000FF"/>
          <w:sz w:val="20"/>
          <w:u w:val="single"/>
          <w:bdr w:val="double" w:sz="2" w:space="1" w:color="000000"/>
        </w:rPr>
        <w:t xml:space="preserve"> amount referenced in the preamble to this Section 6.09: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the payment of indemnification and similar amounts to, and reimbursement of expenses to, the Sponsor, ParentCo, HoldCo or Merger Sub and its officers, directors, employees and Affiliates, in each case, approved by, or pursuant to arrangements approved by, the disinterested members of the Company’s board of directors in good faith,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payments, loans, advances or guarantees (or cancellation of loans, advances or guarantees) to future, present or former employees, officers, directors, managers, consultants or independent contractors or guarantees in respect thereof for bona fide business purposes or in the ordinary course of business or consistent with industry practice,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any subscription agreement or similar agreement pertaining to the repurchase of Equity Interests pursuant to put/call rights or similar rights with current, former or future officers, directors, employees, managers, consultants and independent contractors of ParentCo, HoldCo, Merger Sub, any Borrower, or any Subsidiary,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(iv) any payment of compensation or other employee compensation, benefit plan or arrangement, any health, disability or similar insurance plan which covers current, former or future officers, directors, employees, managers, consultants and independent contractors of ParentCo, HoldCo, Merger Sub, any Borrower, or any Subsidiary,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(j) the payment of fees and compensation paid to, and indemnities and reimbursements and employment and severance arrangements provided to, or on behalf of or for the benefit of, present, future or former employees, directors, officers, members of management, consultants or independent contractors of any Borrower, any parent or any Restricted Subsidiary, in each case, in the ordinary course of business and, if applicable, consistent with past practice,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(k) the existence of, or the performance by any Borrower or any Restricted Subsidiary of its obligations under the terms of, any equity holders agreement or the equivalent (including any registration rights agreement or purchase agreement related thereto) to which it is a party as of the Effective Time and any amendment thereto and, similar agreements or arrangements that it may enter into thereafter; provided that the existence of, or the performance by any Borrower or any Restricted Subsidiary of obligations under any future amendment to any such existing agreement or arrangement or under any similar agreement or arrangement entered into after the Effective Time will only be permitted by this clause (k) to the extent that the terms of any such amendment or new agreement or arrangement are not otherwise materially disadvantageous in the good faith judgment of the board of directors of the Company to the Lenders, when taken as a whole, as compared to the original agreement or arrangement in effect at the Effective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 payments by any Borrower or any Restricted Subsidiary made for any financial advisory, consulting, financing, underwriting or placement services or in respect of other investment banking activities, including in connection with acquisitions or divestitures, which payments are, reasonable and documented, incurred in the ordinary course of business, and approved by, or made pursuant to arrangements approved by, a majority of the disinterested members of the board of directors of the Company in good faith,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 transactions permitted by, and complying with, Section 6.03 solely for the purpose of reorganizing to facilitate any initial public offering of securities of ParentCo, HoldCo, or the Company,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 xml:space="preserve">(n) transactions undertaken in good faith (as determined </w:t>
      </w:r>
      <w:r>
        <w:rPr>
          <w:rFonts w:ascii="Times New Roman" w:hAnsi="Times New Roman"/>
          <w:color w:val="008000"/>
          <w:sz w:val="20"/>
          <w:u w:val="single"/>
          <w:bdr w:val="double" w:sz="2" w:space="1" w:color="000000"/>
        </w:rPr>
        <w:t xml:space="preserve">by the Administrative Agent in </w:t>
      </w:r>
      <w:r>
        <w:rPr>
          <w:rFonts w:ascii="Times New Roman" w:hAnsi="Times New Roman"/>
          <w:color w:val="0000FF"/>
          <w:sz w:val="20"/>
          <w:u w:val="single"/>
          <w:bdr w:val="double" w:sz="2" w:space="1" w:color="000000"/>
        </w:rPr>
        <w:t>good faith) for the purposes of improving the consolidated tax efficiency of the Company (or, after the consummation of the Take-Private Transaction, HoldCo) and its Subsidiaries and not for the purpose of circumventing Articles V and VII, so long as such transactions, when taken as a whole, do not materially impair the Liens on the Collateral granted by the Loan Parties in favor of the Secured Parties, when taken as a whole, in each case, as determined by the Administrative Agent in good faith.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Restrictive Agreements</w:t>
      </w:r>
      <w:r>
        <w:rPr>
          <w:rFonts w:ascii="Times New Roman" w:hAnsi="Times New Roman"/>
          <w:sz w:val="20"/>
        </w:rPr>
        <w:t xml:space="preserve">. No Loan Party will, nor will it permit any Restricted Subsidiary to, directly or indirectly enter into, incur or permit to exist any agreement or other arrangement that prohibits, restricts or imposes any condition upon (a) the ability of such Loan Party or any Restricted Subsidiary to create, incur or permit to exist any Lien upon any of its property or assets in favor of the Administrative Agent to secure the Secured Obligations, or (b) the ability of any Restricted Subsidiary to pay dividends or other distributions with respect to any Equity Interests or to make or repay loans or advances to any Borrower or any other Restricted Subsidiary or to Guarantee Indebtedness of any Borrower or any other Restricted Subsidiary; </w:t>
      </w:r>
      <w:r>
        <w:rPr>
          <w:rFonts w:ascii="Times New Roman" w:hAnsi="Times New Roman"/>
          <w:sz w:val="20"/>
          <w:u w:val="single"/>
        </w:rPr>
        <w:t>provided</w:t>
      </w:r>
      <w:r>
        <w:rPr>
          <w:rFonts w:ascii="Times New Roman" w:hAnsi="Times New Roman"/>
          <w:sz w:val="20"/>
        </w:rPr>
        <w:t xml:space="preserve"> that (i) the foregoing shall not apply to restrictions and conditions imposed by any applicable law or by any Loan Document,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assets or a Restricted Subsidiary pending such sale, provided such restrictions and conditions apply only to such assets or the Restricted Subsidiary that is to be sold and, in each case,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(v) clause (a) of the foregoing shall not apply to customary provisions in leases and other contracts restricting the assignment thereof</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(vi) clause (b) of the foregoing shall not apply to restrictions imposed by any agreement governing Indebtedness entered into after the Effective Date and permitted under </w:t>
      </w:r>
      <w:r>
        <w:rPr>
          <w:rFonts w:ascii="Times New Roman" w:hAnsi="Times New Roman"/>
          <w:sz w:val="20"/>
          <w:u w:val="single"/>
        </w:rPr>
        <w:t>Section 6.01(q)</w:t>
      </w:r>
      <w:r>
        <w:rPr>
          <w:rFonts w:ascii="Times New Roman" w:hAnsi="Times New Roman"/>
          <w:sz w:val="20"/>
        </w:rPr>
        <w:t xml:space="preserve"> that are, at the time such agreement in entered into, taken as a whole, in the good faith judgment of the Borrower, not materially more restrictive with respect to the Company </w:t>
      </w:r>
      <w:r>
        <w:rPr>
          <w:rFonts w:ascii="Times New Roman" w:hAnsi="Times New Roman"/>
          <w:color w:val="0000FF"/>
          <w:sz w:val="20"/>
          <w:u w:val="single"/>
          <w:bdr w:val="double" w:sz="2" w:space="1" w:color="000000"/>
        </w:rPr>
        <w:t xml:space="preserve">(or, after the consummation of the Take-Private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Transaction, HoldCo) </w:t>
      </w:r>
      <w:r>
        <w:rPr>
          <w:rFonts w:ascii="Times New Roman" w:hAnsi="Times New Roman"/>
          <w:sz w:val="20"/>
        </w:rPr>
        <w:t>or any Restricted Subsidiary than (x) customary market terms for Indebtedness of such type or (y) the restrictions contained in this Agreement</w:t>
      </w:r>
      <w:r>
        <w:rPr>
          <w:rFonts w:ascii="Times New Roman" w:hAnsi="Times New Roman"/>
          <w:strike/>
          <w:color w:val="FF0000"/>
          <w:sz w:val="20"/>
        </w:rPr>
        <w:t>.</w:t>
      </w:r>
      <w:r>
        <w:rPr>
          <w:rFonts w:ascii="Times New Roman" w:hAnsi="Times New Roman"/>
          <w:color w:val="0000FF"/>
          <w:sz w:val="20"/>
          <w:u w:val="single"/>
          <w:bdr w:val="double" w:sz="2" w:space="1" w:color="000000"/>
        </w:rPr>
        <w:t>, and (vii) the foregoing shall not apply to restrictions and conditions existing at the time any Person becomes a Restricted Subsidiary (but shall apply to any extension or renewal of, or any amendment or modification expanding the scope of, any such restriction or condition); provided that such restriction or condition was not created in contemplation of such Person becoming a Restricted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Amendment of Material Documents</w:t>
      </w:r>
      <w:r>
        <w:rPr>
          <w:rFonts w:ascii="Times New Roman" w:hAnsi="Times New Roman"/>
          <w:sz w:val="20"/>
        </w:rPr>
        <w:t xml:space="preserve">. No Loan Party will, nor will it permit any Restricted Subsidiary to, amend, modify or waive any of its rights under (a) any agreement relating to any </w:t>
      </w:r>
      <w:r>
        <w:rPr>
          <w:rFonts w:ascii="Times New Roman" w:hAnsi="Times New Roman"/>
          <w:strike/>
          <w:color w:val="FF0000"/>
          <w:sz w:val="20"/>
        </w:rPr>
        <w:t>Subordinated Indebtedness</w:t>
      </w:r>
      <w:r>
        <w:rPr>
          <w:rFonts w:ascii="Times New Roman" w:hAnsi="Times New Roman"/>
          <w:color w:val="0000FF"/>
          <w:sz w:val="20"/>
          <w:u w:val="single"/>
          <w:bdr w:val="double" w:sz="2" w:space="1" w:color="000000"/>
        </w:rPr>
        <w:t>Restricted Debt</w:t>
      </w:r>
      <w:r>
        <w:rPr>
          <w:rFonts w:ascii="Times New Roman" w:hAnsi="Times New Roman"/>
          <w:sz w:val="20"/>
        </w:rPr>
        <w:t xml:space="preserve">, (b) any Original Restatement Date Acquisition </w:t>
      </w:r>
      <w:r>
        <w:rPr>
          <w:rFonts w:ascii="Times New Roman" w:hAnsi="Times New Roman"/>
          <w:strike/>
          <w:color w:val="FF0000"/>
          <w:sz w:val="20"/>
        </w:rPr>
        <w:t>Document</w:t>
      </w:r>
      <w:r>
        <w:rPr>
          <w:rFonts w:ascii="Times New Roman" w:hAnsi="Times New Roman"/>
          <w:color w:val="0000FF"/>
          <w:sz w:val="20"/>
          <w:u w:val="single"/>
          <w:bdr w:val="double" w:sz="2" w:space="1" w:color="000000"/>
        </w:rPr>
        <w:t xml:space="preserve">Agreement </w:t>
      </w:r>
      <w:r>
        <w:rPr>
          <w:rFonts w:ascii="Times New Roman" w:hAnsi="Times New Roman"/>
          <w:sz w:val="20"/>
        </w:rPr>
        <w:t>, (c) the HISCO Acquisition Agreement, (d) the documentation governing any Indebtedness (other than the Secured Obligations) subject to an Applicable Intercreditor Agreement if such amendment is not expressly permitted by the Applicable Intercreditor Agreement</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(e) its charter, articles or certificate of organization or incorporation and bylaws or operating, management or partnership agreement, or other organizational or governing documents, </w:t>
      </w:r>
      <w:r>
        <w:rPr>
          <w:rFonts w:ascii="Times New Roman" w:hAnsi="Times New Roman"/>
          <w:color w:val="0000FF"/>
          <w:sz w:val="20"/>
          <w:u w:val="single"/>
          <w:bdr w:val="double" w:sz="2" w:space="1" w:color="000000"/>
        </w:rPr>
        <w:t xml:space="preserve">or (f) the Sponsor Management Agreement, </w:t>
      </w:r>
      <w:r>
        <w:rPr>
          <w:rFonts w:ascii="Times New Roman" w:hAnsi="Times New Roman"/>
          <w:sz w:val="20"/>
        </w:rPr>
        <w:t xml:space="preserve">in each case, to the extent any such amendment, modification or waiver would be materially adverse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Financial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Coverage Ratio</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will not permit the Interest Coverage Ratio, for any period of four consecutive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ending on the last day of any fiscal quarter of the Company (</w:t>
      </w:r>
      <w:r>
        <w:rPr>
          <w:rFonts w:ascii="Times New Roman" w:hAnsi="Times New Roman"/>
          <w:color w:val="0000FF"/>
          <w:sz w:val="20"/>
          <w:u w:val="single"/>
          <w:bdr w:val="double" w:sz="2" w:space="1" w:color="000000"/>
        </w:rPr>
        <w:t>or, after the consummation of the Take-Private Transaction, HoldCo) (</w:t>
      </w:r>
      <w:r>
        <w:rPr>
          <w:rFonts w:ascii="Times New Roman" w:hAnsi="Times New Roman"/>
          <w:sz w:val="20"/>
        </w:rPr>
        <w:t xml:space="preserve">commencing with the </w:t>
      </w:r>
      <w:r>
        <w:rPr>
          <w:rFonts w:ascii="Times New Roman" w:hAnsi="Times New Roman"/>
          <w:color w:val="0000FF"/>
          <w:sz w:val="20"/>
          <w:u w:val="single"/>
          <w:bdr w:val="double" w:sz="2" w:space="1" w:color="000000"/>
        </w:rPr>
        <w:t xml:space="preserve">last day of the first </w:t>
      </w:r>
      <w:r>
        <w:rPr>
          <w:rFonts w:ascii="Times New Roman" w:hAnsi="Times New Roman"/>
          <w:sz w:val="20"/>
        </w:rPr>
        <w:t xml:space="preserve">fiscal quarter ending </w:t>
      </w:r>
      <w:r>
        <w:rPr>
          <w:rFonts w:ascii="Times New Roman" w:hAnsi="Times New Roman"/>
          <w:strike/>
          <w:color w:val="FF0000"/>
          <w:sz w:val="20"/>
        </w:rPr>
        <w:t>December 31, 2025</w:t>
      </w:r>
      <w:r>
        <w:rPr>
          <w:rFonts w:ascii="Times New Roman" w:hAnsi="Times New Roman"/>
          <w:color w:val="0000FF"/>
          <w:sz w:val="20"/>
          <w:u w:val="single"/>
          <w:bdr w:val="double" w:sz="2" w:space="1" w:color="000000"/>
        </w:rPr>
        <w:t>after the First Amendment Date</w:t>
      </w:r>
      <w:r>
        <w:rPr>
          <w:rFonts w:ascii="Times New Roman" w:hAnsi="Times New Roman"/>
          <w:sz w:val="20"/>
        </w:rPr>
        <w:t xml:space="preserve">), to be less than </w:t>
      </w:r>
      <w:r>
        <w:rPr>
          <w:rFonts w:ascii="Times New Roman" w:hAnsi="Times New Roman"/>
          <w:strike/>
          <w:color w:val="FF0000"/>
          <w:sz w:val="20"/>
        </w:rPr>
        <w:t>2.75</w:t>
      </w:r>
      <w:r>
        <w:rPr>
          <w:rFonts w:ascii="Times New Roman" w:hAnsi="Times New Roman"/>
          <w:color w:val="0000FF"/>
          <w:sz w:val="20"/>
          <w:u w:val="single"/>
          <w:bdr w:val="double" w:sz="2" w:space="1" w:color="000000"/>
        </w:rPr>
        <w:t>2.00</w:t>
      </w:r>
      <w:r>
        <w:rPr>
          <w:rFonts w:ascii="Times New Roman" w:hAnsi="Times New Roman"/>
          <w:sz w:val="20"/>
        </w:rPr>
        <w:t xml:space="preserve"> to 1.00.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Total Net Leverage Ratio</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will not permit the Total Net Leverage Ratio</w:t>
      </w:r>
      <w:r>
        <w:rPr>
          <w:rFonts w:ascii="Times New Roman" w:hAnsi="Times New Roman"/>
          <w:strike/>
          <w:color w:val="008000"/>
          <w:sz w:val="20"/>
        </w:rPr>
        <w:t xml:space="preserve">, on the last day of any fiscal quarter of the Company </w:t>
      </w:r>
      <w:r>
        <w:rPr>
          <w:rFonts w:ascii="Times New Roman" w:hAnsi="Times New Roman"/>
          <w:strike/>
          <w:color w:val="FF0000"/>
          <w:sz w:val="20"/>
        </w:rPr>
        <w:t xml:space="preserve">ending on or after December 31, 2025, to be greater than (i) 4.25 </w:t>
      </w:r>
      <w:r>
        <w:rPr>
          <w:rFonts w:ascii="Times New Roman" w:hAnsi="Times New Roman"/>
          <w:strike/>
          <w:color w:val="008000"/>
          <w:sz w:val="20"/>
        </w:rPr>
        <w:t xml:space="preserve">to 1.00 as of the end of each fiscal quarter of </w:t>
      </w:r>
      <w:r>
        <w:rPr>
          <w:rFonts w:ascii="Times New Roman" w:hAnsi="Times New Roman"/>
          <w:strike/>
          <w:color w:val="FF0000"/>
          <w:sz w:val="20"/>
        </w:rPr>
        <w:t xml:space="preserve">the Company ending on or after December 31, 2025 but prior to June 30, 2027 and (ii) 4.00 </w:t>
      </w:r>
      <w:r>
        <w:rPr>
          <w:rFonts w:ascii="Times New Roman" w:hAnsi="Times New Roman"/>
          <w:strike/>
          <w:color w:val="008000"/>
          <w:sz w:val="20"/>
        </w:rPr>
        <w:t xml:space="preserve">to 1.00 as of the end of each fiscal quarter of </w:t>
      </w:r>
      <w:r>
        <w:rPr>
          <w:rFonts w:ascii="Times New Roman" w:hAnsi="Times New Roman"/>
          <w:strike/>
          <w:color w:val="FF0000"/>
          <w:sz w:val="20"/>
        </w:rPr>
        <w:t xml:space="preserve">the Company ending on or after June 30, 2027; </w:t>
      </w:r>
      <w:r>
        <w:rPr>
          <w:rFonts w:ascii="Times New Roman" w:hAnsi="Times New Roman"/>
          <w:color w:val="0000FF"/>
          <w:sz w:val="20"/>
          <w:u w:val="single"/>
          <w:bdr w:val="double" w:sz="2" w:space="1" w:color="00000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 on the last day of any fiscal quarter of the Company (or, after the consummation of the Take-Private Transaction, HoldCo) ending (A) on or after the First Amendment Date but prior to December 31, 2026, to be greater than 4.50 to 1.00, (B) on or after December 31, 2026 but prior to June 30, 2027, to be greater than 4.25 to 1.00 and (C) on or after June 30, 2027, to be greater than 4.00 to 1.00; provided that this clause (i) shall cease to apply upon the occurrence of the either the Alternate Funding Date or the Covenant Ratchet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 on the last day of any fiscal quarter of HoldCo ending (A) on or after the Alternate Funding Date but prior to March 31, 2028, to be greater than 5.25 to 1.00, (B) on or after March 31, 2028 but prior to September 30, 2028, to be greater than 5.00 to 1.00, (C) on or after September 30, 2028 but prior to March 31, 2029, to be greater than 4.75 to 1.00, (D) on or after March 31, 2029 but prior to September 30, 2029, to be greater than 4.50 to 1.00, (E) on or after September 30, 2029 but prior to March 31, 2030, to be greater than 4.25 to 1.00, and (F) on or after March 31, 2030, to be greater than 4.00 to 1.00; provided that, for the avoidance of doubt, this clause (ii) shall only apply upon and following the occurrence of the Alternate Funding Date (solely to the extent that the Covenant Ratchet Date shall not have occurred at such time) and shall cease to apply upon the occurrence of the Covenant Ratchet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(iii) on the last day of any fiscal quarter of HoldCo ending on or after the Covenant Ratchet Date (A) 6.00 </w:t>
      </w:r>
      <w:r>
        <w:rPr>
          <w:rFonts w:ascii="Times New Roman" w:hAnsi="Times New Roman"/>
          <w:color w:val="008000"/>
          <w:sz w:val="20"/>
          <w:u w:val="single"/>
          <w:bdr w:val="double" w:sz="2" w:space="1" w:color="000000"/>
        </w:rPr>
        <w:t xml:space="preserve">to 1.00 as of the end of each fiscal quarter of </w:t>
      </w:r>
      <w:r>
        <w:rPr>
          <w:rFonts w:ascii="Times New Roman" w:hAnsi="Times New Roman"/>
          <w:color w:val="0000FF"/>
          <w:sz w:val="20"/>
          <w:u w:val="single"/>
          <w:bdr w:val="double" w:sz="2" w:space="1" w:color="000000"/>
        </w:rPr>
        <w:t xml:space="preserve">HoldCo ending on or after the Covenant Ratchet Date but prior to the last day of the fifth (5th) fiscal quarter following the Covenant Ratchet Date, (B) 5.75 </w:t>
      </w:r>
      <w:r>
        <w:rPr>
          <w:rFonts w:ascii="Times New Roman" w:hAnsi="Times New Roman"/>
          <w:color w:val="008000"/>
          <w:sz w:val="20"/>
          <w:u w:val="single"/>
          <w:bdr w:val="double" w:sz="2" w:space="1" w:color="000000"/>
        </w:rPr>
        <w:t xml:space="preserve">to 1.00 as of the end of each fiscal quarter of </w:t>
      </w:r>
      <w:r>
        <w:rPr>
          <w:rFonts w:ascii="Times New Roman" w:hAnsi="Times New Roman"/>
          <w:color w:val="0000FF"/>
          <w:sz w:val="20"/>
          <w:u w:val="single"/>
          <w:bdr w:val="double" w:sz="2" w:space="1" w:color="000000"/>
        </w:rPr>
        <w:t xml:space="preserve">HoldCo ending on or after the last day of the fifth (5th) fiscal quarter following the Covenant Ratchet Date but prior to the last day of the seventh (7th) fiscal quarter following the Covenant Ratchet Date and (C) 5.50 to 1.00 as of the end of each fiscal quarter of HoldCo ending on or after the last day of the seventh (7th) fiscal quarter following the Covenant Ratchet Date;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(b) </w:t>
      </w:r>
      <w:r>
        <w:rPr>
          <w:rFonts w:ascii="Times New Roman" w:hAnsi="Times New Roman"/>
          <w:color w:val="0000FF"/>
          <w:sz w:val="20"/>
          <w:u w:val="single"/>
          <w:bdr w:val="double" w:sz="2" w:space="1" w:color="000000"/>
        </w:rPr>
        <w:t>provided</w:t>
      </w:r>
      <w:r>
        <w:rPr>
          <w:rFonts w:ascii="Times New Roman" w:hAnsi="Times New Roman"/>
          <w:sz w:val="20"/>
        </w:rPr>
        <w:t xml:space="preserve"> that, </w:t>
      </w:r>
      <w:r>
        <w:rPr>
          <w:rFonts w:ascii="Times New Roman" w:hAnsi="Times New Roman"/>
          <w:color w:val="0000FF"/>
          <w:sz w:val="20"/>
          <w:u w:val="single"/>
          <w:bdr w:val="double" w:sz="2" w:space="1" w:color="000000"/>
        </w:rPr>
        <w:t xml:space="preserve">in no event on more than two occasions after the First Amendment Date and prior to the Maturity Date and </w:t>
      </w:r>
      <w:r>
        <w:rPr>
          <w:rFonts w:ascii="Times New Roman" w:hAnsi="Times New Roman"/>
          <w:color w:val="008000"/>
          <w:sz w:val="20"/>
          <w:u w:val="single"/>
          <w:bdr w:val="double" w:sz="2" w:space="1" w:color="000000"/>
        </w:rPr>
        <w:t>only to the extent that no Event of Default has then occurred and is continuing</w:t>
      </w:r>
      <w:r>
        <w:rPr>
          <w:rFonts w:ascii="Times New Roman" w:hAnsi="Times New Roman"/>
          <w:color w:val="0000FF"/>
          <w:sz w:val="20"/>
          <w:u w:val="single"/>
          <w:bdr w:val="double" w:sz="2" w:space="1" w:color="000000"/>
        </w:rPr>
        <w:t xml:space="preserve">, </w:t>
      </w:r>
      <w:r>
        <w:rPr>
          <w:rFonts w:ascii="Times New Roman" w:hAnsi="Times New Roman"/>
          <w:sz w:val="20"/>
        </w:rPr>
        <w:t>upon the written request of the Borrower Representative delivered to the Administrative Agent in connection with any Material Acquisition, the maximum Total Net Leverage Ratio permitted under Section 6.12(b)(i)</w:t>
      </w:r>
      <w:r>
        <w:rPr>
          <w:rFonts w:ascii="Times New Roman" w:hAnsi="Times New Roman"/>
          <w:strike/>
          <w:color w:val="FF0000"/>
          <w:sz w:val="20"/>
        </w:rPr>
        <w:t xml:space="preserve"> or</w:t>
      </w:r>
      <w:r>
        <w:rPr>
          <w:rFonts w:ascii="Times New Roman" w:hAnsi="Times New Roman"/>
          <w:color w:val="0000FF"/>
          <w:sz w:val="20"/>
          <w:u w:val="single"/>
          <w:bdr w:val="double" w:sz="2" w:space="1" w:color="000000"/>
        </w:rPr>
        <w:t>,</w:t>
      </w:r>
      <w:r>
        <w:rPr>
          <w:rFonts w:ascii="Times New Roman" w:hAnsi="Times New Roman"/>
          <w:sz w:val="20"/>
        </w:rPr>
        <w:t xml:space="preserve"> (ii)</w:t>
      </w:r>
      <w:r>
        <w:rPr>
          <w:rFonts w:ascii="Times New Roman" w:hAnsi="Times New Roman"/>
          <w:color w:val="0000FF"/>
          <w:sz w:val="20"/>
          <w:u w:val="single"/>
          <w:bdr w:val="double" w:sz="2" w:space="1" w:color="000000"/>
        </w:rPr>
        <w:t> or (iii)</w:t>
      </w:r>
      <w:r>
        <w:rPr>
          <w:rFonts w:ascii="Times New Roman" w:hAnsi="Times New Roman"/>
          <w:sz w:val="20"/>
        </w:rPr>
        <w:t xml:space="preserve">, as applicable, for each of the four fiscal quarters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ending immediately following the consummation date of such Material Acquisition shall be increased by up to 0.50 to 1.00 as requested in writing by the Company (any such period of four consecutive fiscal quarters being referred to as a “</w:t>
      </w:r>
      <w:r>
        <w:rPr>
          <w:rFonts w:ascii="Times New Roman" w:hAnsi="Times New Roman"/>
          <w:sz w:val="20"/>
          <w:u w:val="single"/>
        </w:rPr>
        <w:t>Total Net Leverage Ratio Adjustment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trike/>
          <w:color w:val="FF0000"/>
          <w:sz w:val="20"/>
        </w:rPr>
        <w:t>, further, however, that such Total Net Leverage Ratio Adjustment shall occur (a) only twice during the term of this Agreement and (b) </w:t>
      </w:r>
      <w:r>
        <w:rPr>
          <w:rFonts w:ascii="Times New Roman" w:hAnsi="Times New Roman"/>
          <w:strike/>
          <w:color w:val="008000"/>
          <w:sz w:val="20"/>
        </w:rPr>
        <w:t>only to the extent that no Event of Default has then occurred and is continuing</w:t>
      </w:r>
      <w:r>
        <w:rPr>
          <w:rFonts w:ascii="Times New Roman" w:hAnsi="Times New Roman"/>
          <w:strike/>
          <w:color w:val="FF0000"/>
          <w:sz w:val="20"/>
        </w:rPr>
        <w:t xml:space="preserve">; </w:t>
      </w:r>
      <w:r>
        <w:rPr>
          <w:rFonts w:ascii="Times New Roman" w:hAnsi="Times New Roman"/>
          <w:strike/>
          <w:color w:val="FF0000"/>
          <w:sz w:val="20"/>
          <w:u w:val="single"/>
        </w:rPr>
        <w:t>provided</w:t>
      </w:r>
      <w:r>
        <w:rPr>
          <w:rFonts w:ascii="Times New Roman" w:hAnsi="Times New Roman"/>
          <w:sz w:val="20"/>
        </w:rPr>
        <w:t xml:space="preserve"> that, </w:t>
      </w:r>
      <w:r>
        <w:rPr>
          <w:rFonts w:ascii="Times New Roman" w:hAnsi="Times New Roman"/>
          <w:strike/>
          <w:color w:val="FF0000"/>
          <w:sz w:val="20"/>
        </w:rPr>
        <w:t xml:space="preserve">that </w:t>
      </w:r>
      <w:r>
        <w:rPr>
          <w:rFonts w:ascii="Times New Roman" w:hAnsi="Times New Roman"/>
          <w:sz w:val="20"/>
        </w:rPr>
        <w:t xml:space="preserve">in no event shall the Total Net Leverage Ratio be increased to a ratio greater than </w:t>
      </w:r>
      <w:r>
        <w:rPr>
          <w:rFonts w:ascii="Times New Roman" w:hAnsi="Times New Roman"/>
          <w:strike/>
          <w:color w:val="FF0000"/>
          <w:sz w:val="20"/>
        </w:rPr>
        <w:t>0.50</w:t>
      </w:r>
      <w:r>
        <w:rPr>
          <w:rFonts w:ascii="Times New Roman" w:hAnsi="Times New Roman"/>
          <w:color w:val="0000FF"/>
          <w:sz w:val="20"/>
          <w:u w:val="single"/>
          <w:bdr w:val="double" w:sz="2" w:space="1" w:color="000000"/>
        </w:rPr>
        <w:t>6.00</w:t>
      </w:r>
      <w:r>
        <w:rPr>
          <w:rFonts w:ascii="Times New Roman" w:hAnsi="Times New Roman"/>
          <w:sz w:val="20"/>
        </w:rPr>
        <w:t xml:space="preserve"> to 1.00 </w:t>
      </w:r>
      <w:r>
        <w:rPr>
          <w:rFonts w:ascii="Times New Roman" w:hAnsi="Times New Roman"/>
          <w:strike/>
          <w:color w:val="FF0000"/>
          <w:sz w:val="20"/>
        </w:rPr>
        <w:t xml:space="preserve">greater than the then applicable covenant level as determined pursuant to clauses (i) and (ii) of this Section 6.12(b) (without giving effect to the provisos set forth herein) </w:t>
      </w:r>
      <w:r>
        <w:rPr>
          <w:rFonts w:ascii="Times New Roman" w:hAnsi="Times New Roman"/>
          <w:sz w:val="20"/>
        </w:rPr>
        <w:t>as a result of a Total Net Leverage Ratio Adjustment</w:t>
      </w:r>
      <w:r>
        <w:rPr>
          <w:rFonts w:ascii="Times New Roman" w:hAnsi="Times New Roman"/>
          <w:color w:val="0000FF"/>
          <w:sz w:val="20"/>
          <w:u w:val="single"/>
          <w:bdr w:val="double" w:sz="2" w:space="1" w:color="000000"/>
        </w:rPr>
        <w:t>; provided further that, the Borrower Representative may not elect a new Total Net Leverage Ratio Adjustment for at least one fiscal quarter following the end of a period of four fiscal quarters of the Company (or, after the consummation of the Take-Private Transaction, HoldCo) for which a Total Net Leverage Ratio Adjustment applied</w:t>
      </w:r>
      <w:r>
        <w:rPr>
          <w:rFonts w:ascii="Times New Roman" w:hAnsi="Times New Roman"/>
          <w:sz w:val="20"/>
        </w:rPr>
        <w:t xml:space="preserve">. Promptly following receipt of notice from the Borrower Representative of its election to give effect to a Total Net Leverage Ratio Adjustment, the Administrative Agent shall give written notice of the Total Net Leverage Ratio Adjustment to the Lenders, and this Agreement shall be automatically amended, without any further action by any party, to reflect such Total Net Leverage Ratio Adjustment.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 Secured Net Leverage Ratio. The Company (or, after the consummation of the Take-Private Transaction, HoldCo) will not permit the Secured Net Leverage Ratio</w:t>
      </w:r>
      <w:r>
        <w:rPr>
          <w:rFonts w:ascii="Times New Roman" w:hAnsi="Times New Roman"/>
          <w:color w:val="008000"/>
          <w:sz w:val="20"/>
          <w:u w:val="single"/>
          <w:bdr w:val="double" w:sz="2" w:space="1" w:color="000000"/>
        </w:rPr>
        <w:t xml:space="preserve">, on the last day of any fiscal quarter of the Company </w:t>
      </w:r>
      <w:r>
        <w:rPr>
          <w:rFonts w:ascii="Times New Roman" w:hAnsi="Times New Roman"/>
          <w:color w:val="0000FF"/>
          <w:sz w:val="20"/>
          <w:u w:val="single"/>
          <w:bdr w:val="double" w:sz="2" w:space="1" w:color="000000"/>
        </w:rPr>
        <w:t>(or, after the consummation of the Take-Private Transaction, HoldCo) ending on or after the Covenant Ratchet Date, to be greater than 3.50 to 1.00.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SECTION 6.13. Holding Company. HoldCo will not engage at any time in any business or business activity other than (i) its direct ownership of the Equity Interests of the Company (but not direct ownership of Equity Interests of any other Person), (ii) the performance of its obligations under the Loan Documents, (iii) engaging in activities and transactions expressly permitted under this Agreement and the other Loan Documents (including the Take-Private Transaction), (iv) the maintenance of its and its Subsidiaries’ legal existence, including the ability to incur fees, costs and expenses relating to such maintenance, (v) the performance of obligations under the Take-Private Transaction Merger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(vi) the entry into, and performance of their obligations with respect to, contracts and other arrangements with officers, directors, employees, managers, partners, consultants or independent contractors of HoldCo or any of its Subsidiaries relating to their employment or directorships (including the providing of indemnification to such persons) to the extent expressly permitted under this Agreement, (vii) complying with applicable law (including holding director and shareholder meetings, preparing organizational records and other organizational activities required to maintain their separate organizational structure or to comply with applicable law), and (viii) activities incidental to any of the foregoing.</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Any of the following events shall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Borrowers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120" w:after="0"/>
        <w:jc w:val="left"/>
        <w:rPr>
          <w:rFonts w:ascii="Times New Roman" w:hAnsi="Times New Roman"/>
          <w:sz w:val="20"/>
        </w:rPr>
      </w:pPr>
      <w:r>
        <w:rPr>
          <w:rFonts w:ascii="Times New Roman" w:hAnsi="Times New Roman"/>
          <w:sz w:val="20"/>
        </w:rPr>
        <w:t xml:space="preserve">(b) the Borrowers shall fail to pay any interest on any Loan or any fee or any other amount (other than an amount referred to in Section 7.01(a)) payable under this Agreement or any other Loan Document, when and as the same shall become due and payable, and such failure shall continue unremedied for a period of three (3) Business Days; </w:t>
      </w:r>
    </w:p>
    <w:p>
      <w:pPr>
        <w:pStyle w:val="TextBody"/>
        <w:bidi w:val="0"/>
        <w:spacing w:before="120" w:after="0"/>
        <w:jc w:val="left"/>
        <w:rPr>
          <w:rFonts w:ascii="Times New Roman" w:hAnsi="Times New Roman"/>
          <w:sz w:val="20"/>
        </w:rPr>
      </w:pPr>
      <w:r>
        <w:rPr>
          <w:rFonts w:ascii="Times New Roman" w:hAnsi="Times New Roman"/>
          <w:sz w:val="20"/>
        </w:rPr>
        <w:t xml:space="preserve">(c) any representation or warranty made or deemed made by or on behalf of any Loan Party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(or in all respects in the case of any representation or warranty qualified by materiality or Material Adverse Effect) when made or deemed made; </w:t>
      </w:r>
    </w:p>
    <w:p>
      <w:pPr>
        <w:pStyle w:val="TextBody"/>
        <w:bidi w:val="0"/>
        <w:spacing w:before="120" w:after="0"/>
        <w:jc w:val="left"/>
        <w:rPr>
          <w:rFonts w:ascii="Times New Roman" w:hAnsi="Times New Roman"/>
          <w:sz w:val="20"/>
        </w:rPr>
      </w:pPr>
      <w:r>
        <w:rPr>
          <w:rFonts w:ascii="Times New Roman" w:hAnsi="Times New Roman"/>
          <w:sz w:val="20"/>
        </w:rPr>
        <w:t xml:space="preserve">(d) any Loan Party shall fail to observe or perform any covenant, condition or agreement contained in Section 5.02(a), 5.03 (with respect to a Loan Party’s existence), 5.08 or 5.14 or in Article VI; </w:t>
      </w:r>
    </w:p>
    <w:p>
      <w:pPr>
        <w:pStyle w:val="TextBody"/>
        <w:bidi w:val="0"/>
        <w:spacing w:before="120" w:after="0"/>
        <w:jc w:val="left"/>
        <w:rPr>
          <w:rFonts w:ascii="Times New Roman" w:hAnsi="Times New Roman"/>
          <w:sz w:val="20"/>
        </w:rPr>
      </w:pPr>
      <w:r>
        <w:rPr>
          <w:rFonts w:ascii="Times New Roman" w:hAnsi="Times New Roman"/>
          <w:sz w:val="20"/>
        </w:rPr>
        <w:t xml:space="preserve">(e) any Loan Party shall fail to observe or perform any covenant, condition or agreement contained in this Agreement or any other Loan Document (other than those specified in Section 7.01(a), (b) or (d) above),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5.06 or 5.13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(f) any Loan Party or any Restricted Subsidiary shall fail to make any payment (whether of principal or interest and regardless of amount) in respect of any Material Indebtedness, when and as the same shall become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event or condition occurs that results in any Material Indebtedness becoming due prior to its scheduled maturity or that enables or permits (after giving effect to any grace or cure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clause (g) shall not apply to secured Indebtedness that becomes due as a result of the voluntary sale or transfer of the property or assets securing such Indebtedness to the extent such sale or transfer is permitted by the terms of Section 6.05; </w:t>
      </w:r>
    </w:p>
    <w:p>
      <w:pPr>
        <w:pStyle w:val="TextBody"/>
        <w:bidi w:val="0"/>
        <w:spacing w:before="120" w:after="0"/>
        <w:jc w:val="left"/>
        <w:rPr>
          <w:rFonts w:ascii="Times New Roman" w:hAnsi="Times New Roman"/>
          <w:sz w:val="20"/>
        </w:rPr>
      </w:pPr>
      <w:r>
        <w:rPr>
          <w:rFonts w:ascii="Times New Roman" w:hAnsi="Times New Roman"/>
          <w:sz w:val="20"/>
        </w:rPr>
        <w:t xml:space="preserve">(h) an involuntary case or proceeding shall be commenced under any Insolvency Law or an involuntary petition shall be filed (including the filing of any notice of intention in respect thereof) seeking (i) bankruptcy, liquidation, winding-up, dissolution or suspension of general operations, (ii) the composition, rescheduling, reorganization, arrangement or readjustment of or other relief or stay of proceedings to enforce in respect of a Loan Party or Restricted Subsidiary or some or all of its debts, or of all or a substantial part of its assets, under any Insolvency Law now or hereafter in effect or (iii) the appointment of a receiver, trustee, interim receiver, receiver and manager, liquidator, administrator, custodian, sequestrator, conservator or similar official for any Loan Party or any Restricted Subsidiary or for all or a substantial part of its assets, and, in any such case, such proceeding, case or petition shall continue undismissed for sixty (60) days or an order or decree approving or ordering any of the foregoing shall be entered; </w:t>
      </w:r>
    </w:p>
    <w:p>
      <w:pPr>
        <w:pStyle w:val="TextBody"/>
        <w:bidi w:val="0"/>
        <w:spacing w:before="120" w:after="0"/>
        <w:jc w:val="left"/>
        <w:rPr>
          <w:rFonts w:ascii="Times New Roman" w:hAnsi="Times New Roman"/>
          <w:sz w:val="20"/>
        </w:rPr>
      </w:pPr>
      <w:r>
        <w:rPr>
          <w:rFonts w:ascii="Times New Roman" w:hAnsi="Times New Roman"/>
          <w:sz w:val="20"/>
        </w:rPr>
        <w:t xml:space="preserve">(i) any Loan Party or any Restricted Subsidiary shall (i) voluntarily commence any proceeding or case or file any petition or application seeking liquidation, reorganization or other relief under any Insolvency Law now or hereafter in effect, (ii) consent to the institution of, or fail to contest in a timely and appropriate manner, any proceeding, case or petition described in Section 7.01(h), (iii) apply for or consent to the appointment of or the taking of possession by, a receiver, trustee, interim receiver, receiver and manager, liquidator, administrator, custodian, sequestrator, conservator, agent or similar official for such Loan Party or Restricted Subsidiary of any Loan Party or of all or a substantial part of its assets, (iv) file an answer admitting the material allegations of a petition filed against it in any such proceeding, (v) make an assignment or a general assignment for the benefit of creditors or (vi) take any action for the purpose of effecting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(j) any Loan Party or any Restricted Subsidiary shall become unable, admit in writing its inability, or publicly declare its intention not to, or fail generally, to pay its debts as they become due, or any Canadian Loan Party shall become an “insolvent person” as defined in the Bankruptcy and Insolvency Act (Canada); </w:t>
      </w:r>
    </w:p>
    <w:p>
      <w:pPr>
        <w:pStyle w:val="TextBody"/>
        <w:bidi w:val="0"/>
        <w:spacing w:before="120" w:after="0"/>
        <w:jc w:val="left"/>
        <w:rPr>
          <w:rFonts w:ascii="Times New Roman" w:hAnsi="Times New Roman"/>
          <w:sz w:val="20"/>
        </w:rPr>
      </w:pPr>
      <w:r>
        <w:rPr>
          <w:rFonts w:ascii="Times New Roman" w:hAnsi="Times New Roman"/>
          <w:sz w:val="20"/>
        </w:rPr>
        <w:t xml:space="preserve">(k) one or more judgments for the payment of money in an aggregate amount in excess of $50,000,000, (to the extent not covered by insurance as to which the insurer has been notified of such judgment or order and has not denied coverage thereof) shall be rendered against any Loan Party, any Restricted Subsidiary or any combination thereof and the same shall remain undischarged for a period of sixty (60) consecutive days during which execution shall not be effectively stayed, or any action shall be legally taken by a judgment creditor to attach or levy upon any assets of any Loan Party or any Restricted Subsidiary to enforce any such judgment or any Loan Party or any Restricted Subsidiary shall fail within sixty (60)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w:t>
      </w:r>
    </w:p>
    <w:p>
      <w:pPr>
        <w:pStyle w:val="TextBody"/>
        <w:bidi w:val="0"/>
        <w:spacing w:before="120" w:after="0"/>
        <w:jc w:val="left"/>
        <w:rPr>
          <w:rFonts w:ascii="Times New Roman" w:hAnsi="Times New Roman"/>
          <w:sz w:val="20"/>
        </w:rPr>
      </w:pPr>
      <w:r>
        <w:rPr>
          <w:rFonts w:ascii="Times New Roman" w:hAnsi="Times New Roman"/>
          <w:sz w:val="20"/>
        </w:rPr>
        <w:t xml:space="preserve">(l) an ERISA Event or Canadian Pension Event shall have occurred that, in the opinion of the Required Lenders, either alone when taken together with all other ERISA Events and Canadian Pension Events that have occurred, could reasonably be expected to result in liability of the Borrowers and their Restricted Subsidiaries in an aggregate amount exceeding $50,000,000;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a Change in Control shall occur; </w:t>
      </w:r>
    </w:p>
    <w:p>
      <w:pPr>
        <w:pStyle w:val="TextBody"/>
        <w:bidi w:val="0"/>
        <w:spacing w:before="120" w:after="0"/>
        <w:jc w:val="left"/>
        <w:rPr>
          <w:rFonts w:ascii="Times New Roman" w:hAnsi="Times New Roman"/>
          <w:sz w:val="20"/>
        </w:rPr>
      </w:pPr>
      <w:r>
        <w:rPr>
          <w:rFonts w:ascii="Times New Roman" w:hAnsi="Times New Roman"/>
          <w:sz w:val="20"/>
        </w:rPr>
        <w:t xml:space="preserve">(n) the Loan Guaranty shall fail to remain in full force or effect (other than pursuant to the terms hereof or thereof) or a Loan Party shall take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 </w:t>
      </w:r>
    </w:p>
    <w:p>
      <w:pPr>
        <w:pStyle w:val="TextBody"/>
        <w:bidi w:val="0"/>
        <w:spacing w:before="120" w:after="0"/>
        <w:jc w:val="left"/>
        <w:rPr>
          <w:rFonts w:ascii="Times New Roman" w:hAnsi="Times New Roman"/>
          <w:sz w:val="20"/>
        </w:rPr>
      </w:pPr>
      <w:r>
        <w:rPr>
          <w:rFonts w:ascii="Times New Roman" w:hAnsi="Times New Roman"/>
          <w:sz w:val="20"/>
        </w:rPr>
        <w:t xml:space="preserve">(o) 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(other than Permitted Encumbrances); </w:t>
      </w:r>
    </w:p>
    <w:p>
      <w:pPr>
        <w:pStyle w:val="TextBody"/>
        <w:bidi w:val="0"/>
        <w:spacing w:before="120" w:after="0"/>
        <w:jc w:val="left"/>
        <w:rPr>
          <w:rFonts w:ascii="Times New Roman" w:hAnsi="Times New Roman"/>
          <w:sz w:val="20"/>
        </w:rPr>
      </w:pPr>
      <w:r>
        <w:rPr>
          <w:rFonts w:ascii="Times New Roman" w:hAnsi="Times New Roman"/>
          <w:sz w:val="20"/>
        </w:rPr>
        <w:t xml:space="preserve">(p) any Collateral Document shall fail to remain in full force or effect (other than pursuant to the terms hereof or thereof) or any action shall be taken to discontinue or to assert the invalidity or unenforceability of any Collateral Document; or </w:t>
      </w:r>
    </w:p>
    <w:p>
      <w:pPr>
        <w:pStyle w:val="TextBody"/>
        <w:bidi w:val="0"/>
        <w:spacing w:before="120" w:after="0"/>
        <w:jc w:val="left"/>
        <w:rPr>
          <w:rFonts w:ascii="Times New Roman" w:hAnsi="Times New Roman"/>
          <w:sz w:val="20"/>
        </w:rPr>
      </w:pPr>
      <w:r>
        <w:rPr>
          <w:rFonts w:ascii="Times New Roman" w:hAnsi="Times New Roman"/>
          <w:sz w:val="20"/>
        </w:rPr>
        <w:t xml:space="preserve">(q) 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Event of Default shall occur, then, and in every such event (other than an event with respect to any Borrower described in Section 7.01(h) or (i)), and at any time thereafter during the continuance of such event, the Administrative Agent may, and at the request of the Required Lenders shall, by notice to the Borrower Representative, take either or both of the following actions, at the same or different times: (i) terminate the Commitments, (including the Swingline Commitment), whereupon the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Secured Obligations, shall become due and payable immediately, in each case without presentment, demand, protest or other notice of any kind, all of which are hereby waived by the Borrowers, (iii) require cash collateral for the LC Exposure in accordance with Section 2.06(j) hereof and (iv) exercise on behalf of itself, the Lenders and the Issuing Banks all rights and remedies available to it, the Lenders and the Issuing Banks under the Loan Documents and applicable law; and in the case of any event with respect to any Borrower described in Section 7.01(h) or (i), the Commitments (including the Swingline Commitment) shall automatically terminate and the principal of the Loans then outstanding, and cash collateral for the LC Exposure, together with accrued interest thereon and all fees (including, for the avoidance of doubt, any break funding payments) and other Secured Obligations, shall automatically become due and payable and the obligations of the Borrowers to cash collateralize the LC Exposure as provided in clause (iii) above shall automatically become effective, in each case without presentment, demand, protest or other notice of any kind, all of which are hereby waived by the Borrowers. Upon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to any other rights and remedies granted to the Administrative Agent and the Lenders in the Loan Documents, the Administrative Agent on behalf of the Secured Parties may exercise all rights and remedies of a secured party under the UCC, PPSA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each Borrower on behalf of itself and its Restricted Subsidiaries to the extent permitted by applicable law),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each Borrower on behalf of itself and its Restricted Subsidiaries to the extent permitted by applicable law. Each Borrower further agrees on behalf of itself and its Restricted Subsidiaries, at the Administrative Agent’s request, to assemble the Collateral and make it available to the Administrative Agent at places which the Administrative Agent shall reasonably select, whether at the premises of any Borrower, another Loan Party or elsewhere. The Administrative Agent shall apply the net proceeds of any action taken by it pursuant to this Section 7.02,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each Borrower on behalf of itself and its Restricted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 Notwithstanding anything to the contrary herein or in any other Loan Document but subject to the immediately succeeding proviso, during the Certain Funds Period neither the Administrative Agent nor any Lender shall exercise any rights or remedies under Section 7.02 (or under any other provisions of the Loan Documents) available during the continuance of any Event of Default (other than any Event of Default under Section 7.01(a), (b), (h) or (i)) that would affect, in any manner, the availability of the Loans and Commitments hereunder and, during such period and notwithstanding the continuance of any Event of Default (other than any Event of Default under Section 7.01(a), (b), (h) or (i)), each Revolving Lender will be required to fund any Revolving Loans requested subject to the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of the conditions of, but otherwise in accordance with, the provisions of Section 4.03 at the time, in the amounts and in the manner so requested; provided that nothing contained in this clause (c) shall prohibit the Administrative Agent or any Lender from exercising during the Certain Funds Period any rights or remedies under Section 7.02 (or under any other provisions of the Loan Documents) available during the continuance of any Event of Default under Section 7.01(a), (b), (h) or (i); provided further that, following the expiration of the Certain Funds Period, the prohibition on enforcement set forth in this clause (c) shall immediately terminate and any Event of Default (other than any Event of Default under Section 7.01(a), (b), (h) or (i)) that occurred during the Certain Funds Period shall (unless otherwise cured or waived in accordance with the Loan Documents) be reinstated and shall constitute an immediate Event of Default and the Administrative Agent and each Lender may thereafter exercise any rights or remedies under Section 7.02 (or under any other provisions of the Loan Documents) available during the continuance of such Event of Default that occurred during the Certain Funds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Equity Cure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in this Article VII, for purposes of determining whether any Default or Event of Default under the covenants set forth in Section 6.12 has occurred with respect to any fiscal quarter at any time after the end of such fiscal quarter until the expiration of the tenth (10th) Business Day after the date on which financial statements are required to be delivered pursuant to Section 5.01(a) or (b), as applicable, with respect to such fiscal quarter (with respect to the applicable fiscal quarter, the “</w:t>
      </w:r>
      <w:r>
        <w:rPr>
          <w:rFonts w:ascii="Times New Roman" w:hAnsi="Times New Roman"/>
          <w:sz w:val="20"/>
          <w:u w:val="single"/>
        </w:rPr>
        <w:t>Cure Expiration Date</w:t>
      </w:r>
      <w:r>
        <w:rPr>
          <w:rFonts w:ascii="Times New Roman" w:hAnsi="Times New Roman"/>
          <w:sz w:val="20"/>
        </w:rPr>
        <w:t xml:space="preserv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may issue Qualified Stock and apply the net cash proceeds of such issuance (a “</w:t>
      </w:r>
      <w:r>
        <w:rPr>
          <w:rFonts w:ascii="Times New Roman" w:hAnsi="Times New Roman"/>
          <w:sz w:val="20"/>
          <w:u w:val="single"/>
        </w:rPr>
        <w:t>Specified Equity Contribution</w:t>
      </w:r>
      <w:r>
        <w:rPr>
          <w:rFonts w:ascii="Times New Roman" w:hAnsi="Times New Roman"/>
          <w:sz w:val="20"/>
        </w:rPr>
        <w:t>”) to increase EBITDA with respect to such fiscal quarter (with respect to any fiscal quarter the “</w:t>
      </w:r>
      <w:r>
        <w:rPr>
          <w:rFonts w:ascii="Times New Roman" w:hAnsi="Times New Roman"/>
          <w:sz w:val="20"/>
          <w:u w:val="single"/>
        </w:rPr>
        <w:t>Cure Right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net cash proceeds are actually received by the Company as cash common equity no later than the Cure Expiration Date for the applicable fiscal quarter, (ii) such proceeds are Not Otherwise Applied and (iii) the Company shall have provided notice to the Administrative Agent on the date such amounts are actually received by the Company in connection with a Cure Right and designated as a “Specified Equity Contribution” (it being understood that to the extent such notice is provided in advance of delivery of a Compliance Certificate for the applicable fiscal quarter, the amount of such net cash proceeds that is designated as the Specified Equity Contribution may be lower than specified in such notice to the extent that the amount necessary to cure any Event of Default under the covenants set forth in Section 6.12 is less than the full amount of such originally designated amount). </w:t>
      </w:r>
    </w:p>
    <w:p>
      <w:pPr>
        <w:pStyle w:val="TextBody"/>
        <w:bidi w:val="0"/>
        <w:spacing w:before="120" w:after="0"/>
        <w:jc w:val="left"/>
        <w:rPr>
          <w:rFonts w:ascii="Times New Roman" w:hAnsi="Times New Roman"/>
          <w:sz w:val="20"/>
        </w:rPr>
      </w:pPr>
      <w:r>
        <w:rPr>
          <w:rFonts w:ascii="Times New Roman" w:hAnsi="Times New Roman"/>
          <w:sz w:val="20"/>
        </w:rPr>
        <w:t>(b) The right to obtain a Specified Equity Contribution is subject to the following conditions: (i) no more than two (2) Specified Equity Contributions may be made in any period of four consecutive fiscal quarters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(ii) no more than five (5) Specified Equity Contributions will be made in the aggregate during the term of this Agreement, (iii) the net cash proceeds of any Specified Equity Contribution shall be no more than the amount required to cause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to be in compliance on a pro forma basis with Section 6.12 for the applicable fiscal quarter, (iv) there shall be no pro forma reduction in Indebtedness (including by way of “netting”) with the proceeds of any Specified Equity Contribution for determining compliance with Section 6.12 for the fiscal quarter in respect of which the Cure Right is being exercised, (v) all Specified Equity Contributions shall only be included in EBITDA for purposes of determining compliance with Section 6.12 and for no other reason (for the avoidance of doubt, all Specified Equity Contributions shall be disregarded for purposes of determining pricing, financial covenant or financial ratio based conditions (including the determination of compliance with the financial covenants set forth in Section 6.12 on a pro forma basis in connection with the utilization of any basket or exception or the taking of any action), Available Amount, baskets with respect to covenants contained in the Loan Documents and all other purposes), and (vi) following delivery to the Administrative Agent of any written notice from the Company indicating an intent to make a Specified Equity Contribution with respect to any fiscal quarter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until the Specified Equity Contribution is made for such fiscal quarter, no Loans shall be required to be made under this Agreement and no Letters of Credit shall be required to be issued, amended or extended.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to the contrary contained in Section 7.01 or 7.02, (i) upon receipt of the proceeds of a Specified Equity Contribution by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in respect of any fiscal quarter of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and prior to the Cure Expiration Date therefor, the covenants set forth in Section 6.12 for such fiscal quarter shall be deemed satisfied and complied with as of the end of such fiscal quarter with the same effect as though there had been no failure to comply with Section 6.12 for such fiscal quarter and any Default related to any failure to comply with Section 6.12 as of the end of such fiscal quarter (and any other Default arising solely as a result thereof) shall be deemed not to have occurred for any purpose under the Loan Documents and (ii) following delivery to the Administrative Agent of any notice indicating an intent to make a Specified Equity Contribution for any fiscal quarter of the Company</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unless the Administrative Agent has received a written notice from the Company </w:t>
      </w:r>
      <w:r>
        <w:rPr>
          <w:rFonts w:ascii="Times New Roman" w:hAnsi="Times New Roman"/>
          <w:color w:val="0000FF"/>
          <w:sz w:val="20"/>
          <w:u w:val="single"/>
          <w:bdr w:val="double" w:sz="2" w:space="1" w:color="000000"/>
        </w:rPr>
        <w:t xml:space="preserve">(or, after the consummation of the Take-Private Transaction, HoldCo) </w:t>
      </w:r>
      <w:r>
        <w:rPr>
          <w:rFonts w:ascii="Times New Roman" w:hAnsi="Times New Roman"/>
          <w:sz w:val="20"/>
        </w:rPr>
        <w:t xml:space="preserve">of its intent not to make a Specified Equity Contribution and exercise its rights under this Section 7.03 prior to the Cure Expiration Date for such fiscal quarter, neither the Administrative Agent nor any Lender shall exercise any rights or remedies under Section 7.02 (or under any other provisions of the Loan Documents) available during the continuance of any Event of Default based solely on the basis of any actual or purported failure to comply with Section 6.12 until such failure is not cured with the proceeds of a Specified Equity Contribution on or prior to the Cure Expiration Date for such fiscal quarter. </w:t>
      </w:r>
    </w:p>
    <w:p>
      <w:pPr>
        <w:pStyle w:val="TextBody"/>
        <w:bidi w:val="0"/>
        <w:spacing w:before="24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u w:val="single"/>
        </w:rPr>
        <w:t>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Authorization and 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the Arrangers and the Co-Syndication Agents are commercial in nature and not to invest in the general performance or operations of the Borrowers.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Administrative Agent does not assume and shall not be deemed to have assumed any obligation or duty or any other relationship as the agent, fiduciary or trustee of or for any Lender, Issuing Bank, any other Secured Party or holder of any other Secured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(ii) where the Administrative Agent is required or deemed to act as a trustee in respect of any Collateral over which a security interest has been created pursuant to a Loan Document expressed to be governed by the laws of Canada (or any province or territory thereof), or is required or deemed to hold any Collateral “on trust” pursuant to the foregoing, the obligations and liabilities of the Administrative Agent to the Secured Parties in its capacity as trustee shall be excluded to the fullest extent permitted by applicable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nothing in this Agreement or any Loan Document shall require the Administrative Agent to account to any Lender for any sum or the profit element of any sum received by the Administrative Agent for its own account;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w:t>
      </w:r>
    </w:p>
    <w:p>
      <w:pPr>
        <w:pStyle w:val="TextBody"/>
        <w:bidi w:val="0"/>
        <w:spacing w:before="120" w:after="0"/>
        <w:jc w:val="left"/>
        <w:rPr>
          <w:rFonts w:ascii="Times New Roman" w:hAnsi="Times New Roman"/>
          <w:sz w:val="20"/>
        </w:rPr>
      </w:pPr>
      <w:r>
        <w:rPr>
          <w:rFonts w:ascii="Times New Roman" w:hAnsi="Times New Roman"/>
          <w:sz w:val="20"/>
        </w:rPr>
        <w:t xml:space="preserve">(e) None of any Arranger or any Co-Syndication Agent shall have any obligations or duties whatsoever in such capacity under this Agreement or any other Loan Document and shall incur no liability hereunder or thereunder in such capacity, but all such persons shall have the benefit of the indemnities provided for hereunder. </w:t>
      </w:r>
    </w:p>
    <w:p>
      <w:pPr>
        <w:pStyle w:val="TextBody"/>
        <w:bidi w:val="0"/>
        <w:spacing w:before="120" w:after="0"/>
        <w:jc w:val="left"/>
        <w:rPr>
          <w:rFonts w:ascii="Times New Roman" w:hAnsi="Times New Roman"/>
          <w:sz w:val="20"/>
        </w:rPr>
      </w:pPr>
      <w:r>
        <w:rPr>
          <w:rFonts w:ascii="Times New Roman" w:hAnsi="Times New Roman"/>
          <w:sz w:val="20"/>
        </w:rPr>
        <w:t xml:space="preserve">(f) In case of the pendency of any proceeding with respect to any Loan Party under any Federal, state or foreign Insolvency Law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(ii)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Secured Obligations or the rights of any Lender or Issuing Bank or to authorize the Administrative Agent to vote in respect of the claim of any Lender or Issuing Bank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Each of the Lenders and each of the Issuing Banks irrevocably authorizes and instructs the administrative Agent to enter into subordination or intercreditor agreements (including any Applicable Intercreditor Agreement) with respect to Indebtedness to the extent the Administrative Agent is otherwise contemplated herein as being a party to such intercreditor or subordination agreement, together with (A) any immaterial changes and (B) material changes thereto in light of prevailing market conditions, which material changes shall be posted to the Lenders not less than five (5) Business Days before execution thereof and, if the Required Lenders shall not have objected to such changes within five (5) Business Days after posting, then the Required Lenders shall be deemed to have agreed that the Administrative Agent’s entry into such intercreditor agreement (with such changes) is reasonable and to have consented to such intercreditor agreement (with such changes) and to the Administrative Agent’s execution thereof, in each case in form and substance reasonably satisfactory to the Administrative Agent (it being understood that junior Liens are not required to be </w:t>
      </w:r>
      <w:r>
        <w:rPr>
          <w:rFonts w:ascii="Times New Roman" w:hAnsi="Times New Roman"/>
          <w:i/>
          <w:sz w:val="20"/>
        </w:rPr>
        <w:t>pari passu</w:t>
      </w:r>
      <w:r>
        <w:rPr>
          <w:rFonts w:ascii="Times New Roman" w:hAnsi="Times New Roman"/>
          <w:sz w:val="20"/>
        </w:rPr>
        <w:t xml:space="preserve"> with other junior Liens, and that Indebtedness secured by junior Liens may be secured by Liens that are </w:t>
      </w:r>
      <w:r>
        <w:rPr>
          <w:rFonts w:ascii="Times New Roman" w:hAnsi="Times New Roman"/>
          <w:i/>
          <w:sz w:val="20"/>
        </w:rPr>
        <w:t>pari passu</w:t>
      </w:r>
      <w:r>
        <w:rPr>
          <w:rFonts w:ascii="Times New Roman" w:hAnsi="Times New Roman"/>
          <w:sz w:val="20"/>
        </w:rPr>
        <w:t xml:space="preserve"> with, or junior in priority to, other Liens that are junior to the Liens securing the </w:t>
      </w:r>
      <w:r>
        <w:rPr>
          <w:rFonts w:ascii="Times New Roman" w:hAnsi="Times New Roman"/>
          <w:strike/>
          <w:color w:val="FF0000"/>
          <w:sz w:val="20"/>
        </w:rPr>
        <w:t>initial</w:t>
      </w:r>
      <w:r>
        <w:rPr>
          <w:rFonts w:ascii="Times New Roman" w:hAnsi="Times New Roman"/>
          <w:color w:val="0000FF"/>
          <w:sz w:val="20"/>
          <w:u w:val="single"/>
          <w:bdr w:val="double" w:sz="2" w:space="1" w:color="000000"/>
        </w:rPr>
        <w:t>Initial</w:t>
      </w:r>
      <w:r>
        <w:rPr>
          <w:rFonts w:ascii="Times New Roman" w:hAnsi="Times New Roman"/>
          <w:sz w:val="20"/>
        </w:rPr>
        <w:t xml:space="preserve"> Term Loans). Each Secured Party hereby agrees that the Administrative Agent may enter into any intercreditor agreement and/or subordination agreement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the Administrative Agent (or its affiliated designee, representative, agent or successor) on its behalf as collateral agent (like term of similar import), respectively, thereunder. Each Lender (a) hereby agrees that it will be bound by and will take no actions contrary to the provisions of any applicable intercreditor agreement (if entered into) and (b) hereby authorizes and instructs the Administrative Agent to enter into, if applicable, any intercreditor agreement (and any amendments, amendments and restatements, restatements or waivers of or supplements to or other modifications to, such agreements (subject, if applicable, to the last sentence of Section 9.02(b)), and to subject the Liens on the Collateral securing the Secured Obligations to the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(h) The provisions of this Article are solely for the benefit of the Administrative Agent, the Lenders and the Issuing Banks, and, except solely to the extent of the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Administrative Agent’s Reliance, Indemnification,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Administrative Agent shall be deemed not to have knowledge of any (x)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a Borrower, or (y) notice of any Default or Event of Default unless and until written notice thereof (stating that it is a “notice of Default” or a “notice of an Event of Default”) is given to the Administrative Agent by the Borrowers,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(vi) the creation, perfection or priority of Liens on the Collateral or (vii) compliance by Affiliate Lenders with the terms hereof relating to Affiliate Lenders. Notwithstanding anything herein to the contrary, the Administrative Agent shall not be liable for, or be responsible for any Liability, loss, cost or expense suffered by any Borrower, any other Loan Party, any Subsidiary, any Lender or any Issuing Bank as a result of, any determination of the Revolving Exposure, any of the component amounts thereof or any portion thereof attributable to each Lender or Issuing Bank, or any Exchange Rate or calculation of any Dollar Equivalent.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Posting of 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Times New Roman" w:hAnsi="Times New Roman"/>
          <w:sz w:val="20"/>
          <w:u w:val="single"/>
        </w:rPr>
        <w:t>Approved Electronic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Borrower hereby approves distribution of the Communications through the Approved Electronic Platform and understands and assumes the risks of such distribution. </w:t>
      </w:r>
    </w:p>
    <w:p>
      <w:pPr>
        <w:pStyle w:val="TextBody"/>
        <w:bidi w:val="0"/>
        <w:spacing w:before="120" w:after="0"/>
        <w:jc w:val="left"/>
        <w:rPr>
          <w:rFonts w:ascii="Times New Roman" w:hAnsi="Times New Roman"/>
          <w:sz w:val="20"/>
        </w:rPr>
      </w:pPr>
      <w:r>
        <w:rPr>
          <w:rFonts w:ascii="Times New Roman" w:hAnsi="Times New Roman"/>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OR ANY OF THEIR RESPECTIVE RELATED PARTIES (COLLECTIVELY, “</w:t>
      </w:r>
      <w:r>
        <w:rPr>
          <w:rFonts w:ascii="Times New Roman" w:hAnsi="Times New Roman"/>
          <w:sz w:val="20"/>
          <w:u w:val="single"/>
        </w:rPr>
        <w:t>APPLICABLE PARTIES</w:t>
      </w:r>
      <w:r>
        <w:rPr>
          <w:rFonts w:ascii="Times New Roman" w:hAnsi="Times New Roman"/>
          <w:sz w:val="20"/>
        </w:rPr>
        <w:t xml:space="preserve">”)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 </w:t>
      </w:r>
    </w:p>
    <w:p>
      <w:pPr>
        <w:pStyle w:val="TextBody"/>
        <w:bidi w:val="0"/>
        <w:spacing w:before="120" w:after="0"/>
        <w:jc w:val="left"/>
        <w:rPr>
          <w:rFonts w:ascii="Times New Roman" w:hAnsi="Times New Roman"/>
          <w:sz w:val="20"/>
        </w:rPr>
      </w:pPr>
      <w:r>
        <w:rPr>
          <w:rFonts w:ascii="Times New Roman" w:hAnsi="Times New Roman"/>
          <w:sz w:val="20"/>
        </w:rPr>
        <w:t xml:space="preserve">(d)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of the Lenders, each of the Issuing Banks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(f) Nothing herein shall prejudice the right of the Administrative Agent, any Lender or any Issuing Bank to give any notice or other communication pursuant to any Loan Document in any other manner specified in such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The Administrative Agent Individually</w:t>
      </w:r>
      <w:r>
        <w:rPr>
          <w:rFonts w:ascii="Times New Roman" w:hAnsi="Times New Roman"/>
          <w:sz w:val="20"/>
        </w:rPr>
        <w:t xml:space="preserve"> .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Administrative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may resign at any time by giving 30 days’ prior written notice thereof to the Lenders, the Issuing Banks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 (30) days after the retiring Administrative Agent’s giving of notice of resignation, then the retiring Administrative Agent may, on behalf of the Lenders and the Issuing Banks, appoint a successor Administrative Agent, which shall be a bank with an office in the United States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Representative,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Acknowledgements of Lenders and Issuing Banks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Borrowers,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any Co-Syndication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Co-Syndication Agent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 </w:t>
      </w:r>
    </w:p>
    <w:p>
      <w:pPr>
        <w:pStyle w:val="TextBody"/>
        <w:bidi w:val="0"/>
        <w:spacing w:before="120" w:after="0"/>
        <w:jc w:val="left"/>
        <w:rPr>
          <w:rFonts w:ascii="Times New Roman" w:hAnsi="Times New Roman"/>
          <w:sz w:val="20"/>
        </w:rPr>
      </w:pPr>
      <w:r>
        <w:rPr>
          <w:rFonts w:ascii="Times New Roman" w:hAnsi="Times New Roman"/>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hAnsi="Times New Roman"/>
          <w:sz w:val="20"/>
          <w:u w:val="single"/>
        </w:rPr>
        <w:t>Payment Notice</w:t>
      </w:r>
      <w:r>
        <w:rPr>
          <w:rFonts w:ascii="Times New Roman" w:hAnsi="Times New Roman"/>
          <w:sz w:val="20"/>
        </w:rPr>
        <w:t xml:space="preserv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Borrowers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Borrowers,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 </w:t>
      </w:r>
    </w:p>
    <w:p>
      <w:pPr>
        <w:pStyle w:val="TextBody"/>
        <w:bidi w:val="0"/>
        <w:spacing w:before="120" w:after="0"/>
        <w:jc w:val="left"/>
        <w:rPr>
          <w:rFonts w:ascii="Times New Roman" w:hAnsi="Times New Roman"/>
          <w:sz w:val="20"/>
        </w:rPr>
      </w:pPr>
      <w:r>
        <w:rPr>
          <w:rFonts w:ascii="Times New Roman" w:hAnsi="Times New Roman"/>
          <w:sz w:val="20"/>
        </w:rPr>
        <w:t xml:space="preserve">(e)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Collateral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Credit Bidding</w:t>
      </w:r>
      <w:r>
        <w:rPr>
          <w:rFonts w:ascii="Times New Roman" w:hAnsi="Times New Roman"/>
          <w:sz w:val="20"/>
        </w:rPr>
        <w:t xml:space="preserve">.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Certain ERISA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each Co-Syndication Agent and their respective Affiliates, and not, for the avoidance of doubt, to or for the benefit of any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in connection with the Loans, the Letters of Credit or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and (k) of Section I of PTE 84-14 and (D) to the best knowledge of such Lender, the requirements of subsection (a) of Section I of PTE 84-14 are satisfied with respect to such Lender’s entrance into, participation in, administration of and performance of the Loans, the Letters of Credit,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each Co-Syndication Agent and their respective Affiliates, and not, for the avoidance of doubt, to or for the benefit of any Borrower or any other Loan Party, that none of the Administrative Agent, any Arranger, any Co-Syndication Agent or any of their respective Affiliates is a fiduciary with respect to the Collateral or the assets of such Lender in connection with the Loans, the Letters of Credit, the Commitments or this Agreement (including in connection with the reservation or exercise of any rights by the Administrative Agent under this Agreement, any Loan Document or any documents related to hereto or thereto).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each Arranger and each Co-Syndication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Flood Laws</w:t>
      </w:r>
      <w:r>
        <w:rPr>
          <w:rFonts w:ascii="Times New Roman" w:hAnsi="Times New Roman"/>
          <w:sz w:val="20"/>
        </w:rPr>
        <w:t xml:space="preserve">. JPMorgan has adopted internal policies and procedures that address requirements placed on federally regulated lenders under the National Flood Insurance Reform Act of 1994 and related legislation (the “Flood Laws”). JPMorgan, as administrative agent or collateral agent on a syndicated facility, will post on the applicable electronic platform (or otherwise distribute to each Lender in the syndicate) documents that it receives in connection with the Flood Laws. However, JPMorgan reminds each Lender and Participant in the facility that, pursuant to the Flood Laws, each federally regulated Lender (whether acting as a Lender or Participant in the facility) is responsible for assuring its own compliance with the flood insurance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Quebec Security</w:t>
      </w:r>
      <w:r>
        <w:rPr>
          <w:rFonts w:ascii="Times New Roman" w:hAnsi="Times New Roman"/>
          <w:sz w:val="20"/>
        </w:rPr>
        <w:t xml:space="preserve">. Without limiting the generality of any provisions of this Agreement, each Lender hereby appoints and designates the Administrative Agent (or any successor thereto), as part of its duties as Administrative Agent, to act on behalf of each of the Secured Parties as the hypothecary representative within the meaning of article 2692 of the Civil Code of Québec in order to hold any hypothec granted under the laws of the Province of Québec as security for any of the Obligations pursuant to any deed of hypothec and to exercise such rights and duties as are conferred upon a hypothecary representative under the relevant deed of hypothec and applicable laws (with the power to delegate any such rights or duties). Any Person who becomes a Lender or any successor Administrative Agent shall be deemed to have consented to and ratified the foregoing appointment of the Administrative Agent as hypothecary representative, on behalf of all Secured Parties. For greater certainty, the Administrative Agent, acting as hypothecary representative, shall have the same rights, powers, immunities, indemnities and exclusions from liability as are prescribed in favor of the Administrative Agent in this Agreement, which shall apply mutatis mutandis.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Borrower Communications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Administrative Agent, the Lenders and the Issuing Banks agree that, pursuant to procedures approved by the Administrative Agent, the Borrowers may, but shall not be obligated to, make any Borrower Communications to the Administrative Agent through an electronic platform chosen by the Administrative Agent to be its electronic transmission system (the “</w:t>
      </w:r>
      <w:r>
        <w:rPr>
          <w:rFonts w:ascii="Times New Roman" w:hAnsi="Times New Roman"/>
          <w:sz w:val="20"/>
          <w:u w:val="single"/>
        </w:rPr>
        <w:t>Approved Borrower Portal</w:t>
      </w:r>
      <w:r>
        <w:rPr>
          <w:rFonts w:ascii="Times New Roman" w:hAnsi="Times New Roman"/>
          <w:sz w:val="20"/>
        </w:rPr>
        <w:t xml:space="preserve">”). As used in this </w:t>
      </w:r>
      <w:r>
        <w:rPr>
          <w:rFonts w:ascii="Times New Roman" w:hAnsi="Times New Roman"/>
          <w:sz w:val="20"/>
          <w:u w:val="single"/>
        </w:rPr>
        <w:t>Section 8.12</w:t>
      </w:r>
      <w:r>
        <w:rPr>
          <w:rFonts w:ascii="Times New Roman" w:hAnsi="Times New Roman"/>
          <w:sz w:val="20"/>
        </w:rPr>
        <w:t>, “</w:t>
      </w:r>
      <w:r>
        <w:rPr>
          <w:rFonts w:ascii="Times New Roman" w:hAnsi="Times New Roman"/>
          <w:sz w:val="20"/>
          <w:u w:val="single"/>
        </w:rPr>
        <w:t>Borrower Communications</w:t>
      </w:r>
      <w:r>
        <w:rPr>
          <w:rFonts w:ascii="Times New Roman" w:hAnsi="Times New Roman"/>
          <w:sz w:val="20"/>
        </w:rPr>
        <w:t xml:space="preserve">”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Borrowers to the Administrative Agent through an Approved Borrower Portal, in each case to the extent arrangements for doing so have been approved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Bank, and each Borrower acknowledges and agrees that (i) the distribution of material through an electronic medium is not necessarily secure, (ii) the Administrative Agent is not responsible for approving or vetting administrators, representatives, or contacts of the Borrowers added to the Approved Borrower Portal, and (iii) there may be confidentiality and other risks associated with such distribution. Each Lender, each Issuing Bank, and each Borrower hereby approves distribution of Borrower Communications through the Approved Borrower Portal and understands and assumes the risks of such distribution. </w:t>
      </w:r>
    </w:p>
    <w:p>
      <w:pPr>
        <w:pStyle w:val="TextBody"/>
        <w:bidi w:val="0"/>
        <w:spacing w:before="120" w:after="0"/>
        <w:jc w:val="left"/>
        <w:rPr>
          <w:rFonts w:ascii="Times New Roman" w:hAnsi="Times New Roman"/>
          <w:sz w:val="20"/>
        </w:rPr>
      </w:pPr>
      <w:r>
        <w:rPr>
          <w:rFonts w:ascii="Times New Roman" w:hAnsi="Times New Roman"/>
          <w:sz w:val="20"/>
        </w:rPr>
        <w:t xml:space="preserve">(c) 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(e) Nothing herein shall prejudice the right of each Borrower to give any notice or other communication pursuant to any Loan Document in any other manner specified in such Loan Document. </w:t>
      </w:r>
    </w:p>
    <w:p>
      <w:pPr>
        <w:pStyle w:val="TextBody"/>
        <w:bidi w:val="0"/>
        <w:spacing w:before="24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email,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any Loan Party, to it in care of the Borrower Representative 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8770 W. Bryn Mawr Ave., Suite 900 </w:t>
      </w:r>
    </w:p>
    <w:p>
      <w:pPr>
        <w:pStyle w:val="TextBody"/>
        <w:bidi w:val="0"/>
        <w:spacing w:before="0" w:after="0"/>
        <w:jc w:val="left"/>
        <w:rPr>
          <w:rFonts w:ascii="Times New Roman" w:hAnsi="Times New Roman"/>
          <w:sz w:val="20"/>
        </w:rPr>
      </w:pPr>
      <w:r>
        <w:rPr>
          <w:rFonts w:ascii="Times New Roman" w:hAnsi="Times New Roman"/>
          <w:sz w:val="20"/>
        </w:rPr>
        <w:t xml:space="preserve">Chicago, IL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 60606 </w:t>
      </w:r>
    </w:p>
    <w:p>
      <w:pPr>
        <w:pStyle w:val="TextBody"/>
        <w:bidi w:val="0"/>
        <w:spacing w:before="0" w:after="0"/>
        <w:jc w:val="left"/>
        <w:rPr>
          <w:rFonts w:ascii="Times New Roman" w:hAnsi="Times New Roman"/>
          <w:sz w:val="20"/>
        </w:rPr>
      </w:pPr>
      <w:r>
        <w:rPr>
          <w:rFonts w:ascii="Times New Roman" w:hAnsi="Times New Roman"/>
          <w:sz w:val="20"/>
        </w:rPr>
        <w:t xml:space="preserve">Attn: </w:t>
      </w:r>
      <w:r>
        <w:rPr>
          <w:rFonts w:ascii="Times New Roman" w:hAnsi="Times New Roman"/>
          <w:strike/>
          <w:color w:val="FF0000"/>
          <w:sz w:val="20"/>
        </w:rPr>
        <w:t>Jennifer Kratochvil</w:t>
      </w:r>
      <w:r>
        <w:rPr>
          <w:rFonts w:ascii="Times New Roman" w:hAnsi="Times New Roman"/>
          <w:color w:val="0000FF"/>
          <w:sz w:val="20"/>
          <w:u w:val="single"/>
          <w:bdr w:val="double" w:sz="2" w:space="1" w:color="000000"/>
        </w:rPr>
        <w:t>Fred C. Fisher; Adam C. Wolk; Brian M. Kent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Administrative Agent or the Swingline Lender: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Loan and Agency Servicing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120" w:after="0"/>
        <w:jc w:val="left"/>
        <w:rPr>
          <w:rFonts w:ascii="Times New Roman" w:hAnsi="Times New Roman"/>
          <w:sz w:val="20"/>
        </w:rPr>
      </w:pPr>
      <w:r>
        <w:rPr>
          <w:rFonts w:ascii="Times New Roman" w:hAnsi="Times New Roman"/>
          <w:i/>
          <w:sz w:val="20"/>
        </w:rPr>
        <w:t>Agency Withholding Tax Inquiries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i/>
          <w:sz w:val="20"/>
        </w:rPr>
        <w:t>Agency Compliance/Financials/Intralinks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 the case of a notification of the DQ List: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Issuing Bank: </w:t>
            </w:r>
          </w:p>
        </w:tc>
      </w:tr>
    </w:tbl>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LC Agency Team </w:t>
      </w:r>
    </w:p>
    <w:p>
      <w:pPr>
        <w:pStyle w:val="TextBody"/>
        <w:bidi w:val="0"/>
        <w:spacing w:before="0" w:after="0"/>
        <w:jc w:val="left"/>
        <w:rPr>
          <w:rFonts w:ascii="Times New Roman" w:hAnsi="Times New Roman"/>
          <w:sz w:val="20"/>
        </w:rPr>
      </w:pPr>
      <w:r>
        <w:rPr>
          <w:rFonts w:ascii="Times New Roman" w:hAnsi="Times New Roman"/>
          <w:sz w:val="20"/>
        </w:rPr>
        <w:t xml:space="preserve">Tel: 800-364-1969 </w:t>
      </w:r>
    </w:p>
    <w:p>
      <w:pPr>
        <w:pStyle w:val="TextBody"/>
        <w:bidi w:val="0"/>
        <w:spacing w:before="0" w:after="0"/>
        <w:jc w:val="left"/>
        <w:rPr>
          <w:rFonts w:ascii="Times New Roman" w:hAnsi="Times New Roman"/>
          <w:sz w:val="20"/>
        </w:rPr>
      </w:pPr>
      <w:r>
        <w:rPr>
          <w:rFonts w:ascii="Times New Roman" w:hAnsi="Times New Roman"/>
          <w:sz w:val="20"/>
        </w:rPr>
        <w:t xml:space="preserve">Fax: 856-294-5267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Loan and Agency Servicing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collateral agent: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JPMorgan Chase Bank, N.A. </w:t>
      </w:r>
    </w:p>
    <w:p>
      <w:pPr>
        <w:pStyle w:val="TextBody"/>
        <w:bidi w:val="0"/>
        <w:spacing w:before="0" w:after="0"/>
        <w:jc w:val="left"/>
        <w:rPr>
          <w:rFonts w:ascii="Times New Roman" w:hAnsi="Times New Roman"/>
          <w:sz w:val="20"/>
        </w:rPr>
      </w:pPr>
      <w:r>
        <w:rPr>
          <w:rFonts w:ascii="Times New Roman" w:hAnsi="Times New Roman"/>
          <w:sz w:val="20"/>
        </w:rPr>
        <w:t xml:space="preserve">131 S Dearborn St, Floor 04 </w:t>
      </w:r>
    </w:p>
    <w:p>
      <w:pPr>
        <w:pStyle w:val="TextBody"/>
        <w:bidi w:val="0"/>
        <w:spacing w:before="0" w:after="0"/>
        <w:jc w:val="left"/>
        <w:rPr>
          <w:rFonts w:ascii="Times New Roman" w:hAnsi="Times New Roman"/>
          <w:sz w:val="20"/>
        </w:rPr>
      </w:pPr>
      <w:r>
        <w:rPr>
          <w:rFonts w:ascii="Times New Roman" w:hAnsi="Times New Roman"/>
          <w:sz w:val="20"/>
        </w:rPr>
        <w:t xml:space="preserve">Chicago, IL, 60603-5506 </w:t>
      </w:r>
    </w:p>
    <w:p>
      <w:pPr>
        <w:pStyle w:val="TextBody"/>
        <w:bidi w:val="0"/>
        <w:spacing w:before="0" w:after="0"/>
        <w:jc w:val="left"/>
        <w:rPr>
          <w:rFonts w:ascii="Times New Roman" w:hAnsi="Times New Roman"/>
          <w:sz w:val="20"/>
        </w:rPr>
      </w:pPr>
      <w:r>
        <w:rPr>
          <w:rFonts w:ascii="Times New Roman" w:hAnsi="Times New Roman"/>
          <w:sz w:val="20"/>
        </w:rPr>
        <w:t xml:space="preserve">Attention: LC Agency Team </w:t>
      </w:r>
    </w:p>
    <w:p>
      <w:pPr>
        <w:pStyle w:val="TextBody"/>
        <w:bidi w:val="0"/>
        <w:spacing w:before="0" w:after="0"/>
        <w:jc w:val="left"/>
        <w:rPr>
          <w:rFonts w:ascii="Times New Roman" w:hAnsi="Times New Roman"/>
          <w:sz w:val="20"/>
        </w:rPr>
      </w:pPr>
      <w:r>
        <w:rPr>
          <w:rFonts w:ascii="Times New Roman" w:hAnsi="Times New Roman"/>
          <w:sz w:val="20"/>
        </w:rPr>
        <w:t xml:space="preserve">Tel: 16022212942 </w:t>
      </w:r>
    </w:p>
    <w:p>
      <w:pPr>
        <w:pStyle w:val="TextBody"/>
        <w:bidi w:val="0"/>
        <w:spacing w:before="0" w:after="0"/>
        <w:jc w:val="left"/>
        <w:rPr>
          <w:rFonts w:ascii="Times New Roman" w:hAnsi="Times New Roman"/>
          <w:sz w:val="20"/>
        </w:rPr>
      </w:pPr>
      <w:r>
        <w:rPr>
          <w:rFonts w:ascii="Times New Roman" w:hAnsi="Times New Roman"/>
          <w:sz w:val="20"/>
        </w:rPr>
        <w:t xml:space="preserve">Email: On File with the Borrower Representative and the Lenders </w:t>
      </w:r>
    </w:p>
    <w:p>
      <w:pPr>
        <w:pStyle w:val="TextBody"/>
        <w:bidi w:val="0"/>
        <w:spacing w:before="120" w:after="0"/>
        <w:jc w:val="left"/>
        <w:rPr>
          <w:rFonts w:ascii="Times New Roman" w:hAnsi="Times New Roman"/>
          <w:sz w:val="20"/>
        </w:rPr>
      </w:pPr>
      <w:r>
        <w:rPr>
          <w:rFonts w:ascii="Times New Roman" w:hAnsi="Times New Roman"/>
          <w:sz w:val="20"/>
        </w:rPr>
        <w:t xml:space="preserve">(v) if to any other Lender or Issuing Bank, to it at its address or email address set forth in its Administrative Questionnaire.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hAnsi="Times New Roman"/>
          <w:sz w:val="20"/>
          <w:u w:val="single"/>
        </w:rPr>
        <w:t>provided</w:t>
      </w:r>
      <w:r>
        <w:rPr>
          <w:rFonts w:ascii="Times New Roman" w:hAnsi="Times New Roman"/>
          <w:sz w:val="20"/>
        </w:rPr>
        <w:t xml:space="preserve"> that if not given during normal business hours for the recipient, such notice or communication shall be deemed to have been given at the opening of business on the next Business Day of the recipient, or (iii) delivered through any Electronic Systems or Approved Electronic Platform or Approved Borrower Portal, as applicable, to the extent provided in paragraph (b) below shall be effective as provided in such paragraph (b). </w:t>
      </w:r>
    </w:p>
    <w:p>
      <w:pPr>
        <w:pStyle w:val="TextBody"/>
        <w:bidi w:val="0"/>
        <w:spacing w:before="120" w:after="0"/>
        <w:jc w:val="left"/>
        <w:rPr>
          <w:rFonts w:ascii="Times New Roman" w:hAnsi="Times New Roman"/>
          <w:sz w:val="20"/>
        </w:rPr>
      </w:pPr>
      <w:r>
        <w:rPr>
          <w:rFonts w:ascii="Times New Roman" w:hAnsi="Times New Roman"/>
          <w:sz w:val="20"/>
        </w:rPr>
        <w:t xml:space="preserve">(b) Notices and other communications to any Loan Party or the Lenders, the Administrative Agent or the Issuing Bank hereunder may be delivered or furnished by using Electronic Systems or Approved Electronic Platform or Approved Borrower Portal, as applicable, or pursuant to procedures approved by the Administrative Agent; provided that the foregoing shall not apply to notices pursuant to Article II or to compliance and no Default certificates delivered pursuant to Section 5.01(c) unless otherwise provided for in such provisions or agreed by the Administrative Agent and the applicable Lender. Each of the Administrative Agent and the Borrower Representative (on behalf of the Loan Parties) may, in its discretion, agree to accept notices and other communications to it hereunder by using Electronic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Systems or an Approved Electronic Platform or Approved Borrower Portal, as applicable, and in each case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a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 </w:t>
      </w:r>
    </w:p>
    <w:p>
      <w:pPr>
        <w:pStyle w:val="TextBody"/>
        <w:bidi w:val="0"/>
        <w:spacing w:before="120" w:after="0"/>
        <w:jc w:val="left"/>
        <w:rPr>
          <w:rFonts w:ascii="Times New Roman" w:hAnsi="Times New Roman"/>
          <w:sz w:val="20"/>
        </w:rPr>
      </w:pPr>
      <w:r>
        <w:rPr>
          <w:rFonts w:ascii="Times New Roman" w:hAnsi="Times New Roman"/>
          <w:sz w:val="20"/>
        </w:rPr>
        <w:t xml:space="preserve">(c) Any party hereto may change its address, facsimile number or e-mail address for notices and other communications hereunder by notice to the other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Waivers;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 </w:t>
      </w:r>
    </w:p>
    <w:p>
      <w:pPr>
        <w:pStyle w:val="TextBody"/>
        <w:bidi w:val="0"/>
        <w:spacing w:before="120" w:after="0"/>
        <w:jc w:val="left"/>
        <w:rPr>
          <w:rFonts w:ascii="Times New Roman" w:hAnsi="Times New Roman"/>
          <w:sz w:val="20"/>
        </w:rPr>
      </w:pPr>
      <w:r>
        <w:rPr>
          <w:rFonts w:ascii="Times New Roman" w:hAnsi="Times New Roman"/>
          <w:sz w:val="20"/>
        </w:rPr>
        <w:t xml:space="preserve">(b) Except as provided in Section 2.09 with respect to any Incremental Facility Amendment or modification of the </w:t>
      </w:r>
      <w:r>
        <w:rPr>
          <w:rFonts w:ascii="Times New Roman" w:hAnsi="Times New Roman"/>
          <w:sz w:val="20"/>
          <w:u w:val="single"/>
        </w:rPr>
        <w:t>Commitment Schedule</w:t>
      </w:r>
      <w:r>
        <w:rPr>
          <w:rFonts w:ascii="Times New Roman" w:hAnsi="Times New Roman"/>
          <w:sz w:val="20"/>
        </w:rPr>
        <w:t xml:space="preserve">, and subject to Sections 2.14(b) and (c) and Sections 9.02(c) and (e) and the last sentence of this clause (b),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hAnsi="Times New Roman"/>
          <w:sz w:val="20"/>
          <w:u w:val="single"/>
        </w:rPr>
        <w:t>provided</w:t>
      </w:r>
      <w:r>
        <w:rPr>
          <w:rFonts w:ascii="Times New Roman" w:hAnsi="Times New Roman"/>
          <w:sz w:val="20"/>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payment, or postpone the scheduled date of expiration of any Commitment, without the written consent of each Lender (including any such Lender that is a Defaulting Lender) directly affected thereby (other than, in each case, any prepayment required to be made pursuant to Section 2.11(c)), (D) change Section 2.09(d) or Section 2.18(b) or (d) in a manner that would alter the ratable reduction of Commitments or the order in which payments are applied or the manner in which payments are shared, without the written consent of each Lender (other than any Defaulting Lender and any Affiliate Lender), (E) change any of the provisions of this Section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(other than any Defaulting Lender and any Affiliate Lender) directly affected thereby (it being understood that, solely with the consent of the parties prescribed by Section 2.09 to be parties to an Incremental Facility Amendment, Incremental Term Loans and additional Revolving Commitments may be included in the determination of Required Lenders on substantially the same basis as the initial Commitments and Loans are included on the Effective Date), (F) change Section 2.20, without the consent of each Lender (other than any Defaulting Lender and any Affiliate Lender), (G) release any Guarantor from its obligation under its Loan Guaranty (except as otherwise permitted herein or in the other Loan Documents), without the written consent of each Lender (other than any Defaulting Lender and any Affiliate Lender), (H) except as provided in clause (c) of this Section or in any Collateral Document, release all or substantially all of the Collateral without the written consent of each Lender (other than any Defaulting Lender and any Affiliate Lender), (I) change the definition of “Alternative Currency” without the written consent of each Revolving Lender or (J) except as provided in clause (c) of this Section, other than in connection with the incurrence of debtor-in-possession financing (or similar financing arrangements in insolvency proceedings in non-U.S. jurisdictions), subordinate, or have the effect of subordinating, (x) the Liens on the Collateral securing any of the Obligations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w:t>
      </w:r>
      <w:r>
        <w:rPr>
          <w:rFonts w:ascii="Times New Roman" w:hAnsi="Times New Roman"/>
          <w:sz w:val="20"/>
          <w:u w:val="single"/>
        </w:rPr>
        <w:t>Senior Indebtedness</w:t>
      </w:r>
      <w:r>
        <w:rPr>
          <w:rFonts w:ascii="Times New Roman" w:hAnsi="Times New Roman"/>
          <w:sz w:val="20"/>
        </w:rPr>
        <w:t>”), in either the case of subclause (x) or (y), unless each adversely affected Lender has been offered a bona fide opportunity to fund or otherwise provide 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w:t>
      </w:r>
      <w:r>
        <w:rPr>
          <w:rFonts w:ascii="Times New Roman" w:hAnsi="Times New Roman"/>
          <w:sz w:val="20"/>
          <w:u w:val="single"/>
        </w:rPr>
        <w:t>Ancillary Fees</w:t>
      </w:r>
      <w:r>
        <w:rPr>
          <w:rFonts w:ascii="Times New Roman" w:hAnsi="Times New Roman"/>
          <w:sz w:val="20"/>
        </w:rPr>
        <w:t xml:space="preserve">”)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terms of the arrangements pursuant to which the Senior Indebtedness is to be provided, which offer shall remain open to each adversely affected Lender for a period of no fewer than five (5) Business Days after such adversely affected Lender receives such written offer; </w:t>
      </w:r>
      <w:r>
        <w:rPr>
          <w:rFonts w:ascii="Times New Roman" w:hAnsi="Times New Roman"/>
          <w:sz w:val="20"/>
          <w:u w:val="single"/>
        </w:rPr>
        <w:t>provided further</w:t>
      </w:r>
      <w:r>
        <w:rPr>
          <w:rFonts w:ascii="Times New Roman" w:hAnsi="Times New Roman"/>
          <w:sz w:val="20"/>
        </w:rPr>
        <w:t xml:space="preserve"> that no such agreement shall amend, modify or otherwise affect the rights or duties of the Administrative Agent, the Swingline Lender or the Issuing Bank hereunder without the prior written consent of the Administrative Agent, the Swingline Lender or the Issuing Bank, as the case may be (it being understood that any amendment to Section 2.20 shall require the consent of the Administrative Agent, the Swingline Lender and the Issuing Bank); </w:t>
      </w:r>
      <w:r>
        <w:rPr>
          <w:rFonts w:ascii="Times New Roman" w:hAnsi="Times New Roman"/>
          <w:sz w:val="20"/>
          <w:u w:val="single"/>
        </w:rPr>
        <w:t>provided further</w:t>
      </w:r>
      <w:r>
        <w:rPr>
          <w:rFonts w:ascii="Times New Roman" w:hAnsi="Times New Roman"/>
          <w:sz w:val="20"/>
        </w:rPr>
        <w:t xml:space="preserve"> that no such agreement shall amend or modify the provisions of Section 2.06 or any letter of credit application and any bilateral agreement between the Borrower Representative and the Issuing Bank regarding the Issuing Bank’s Issuing Bank Sublimit or the respective rights and obligations between the Borrowers and the Issuing Bank in connection with the issuance of Letters of Credit without the prior written consent of the Administrative Agent and the Issuing Bank, respectively. The Administrative Agent may also amend the </w:t>
      </w:r>
      <w:r>
        <w:rPr>
          <w:rFonts w:ascii="Times New Roman" w:hAnsi="Times New Roman"/>
          <w:sz w:val="20"/>
          <w:u w:val="single"/>
        </w:rPr>
        <w:t>Commitment Schedule</w:t>
      </w:r>
      <w:r>
        <w:rPr>
          <w:rFonts w:ascii="Times New Roman" w:hAnsi="Times New Roman"/>
          <w:sz w:val="20"/>
        </w:rPr>
        <w:t xml:space="preserve"> to reflect assignments entered into pursuant to Section 9.04. Any amendment, waiver or other modification of this Agreement or any other Loan Document that by its terms affects the rights or duties under this Agreement of the Lenders of one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 Notwithstanding anything else to the contrary contained in this Agreement or any other Loan Document, no Lender consent (other than that of the Administrative Agent) is required with respect to entry into, or to effect any amendment or supplement to any Applicable Intercreditor Agreement with respect to any Indebtedness contemplated or otherwise permitted hereunder, or any amendment or supplement thereto (i) that is for the purpose of adding the holders of Indebtedness governed thereby as parties thereto, as expressly contemplated by the terms of such Applicable Intercreditor Agreement (it being understood that any such amendment or supplement may make such other changes to the applicable intercreditor or subordination agreement as, in the good faith determination of the Administrative Agent, are required to effectuate the foregoing;</w:t>
      </w:r>
      <w:r>
        <w:rPr>
          <w:rFonts w:ascii="Times New Roman" w:hAnsi="Times New Roman"/>
          <w:sz w:val="20"/>
          <w:u w:val="single"/>
        </w:rPr>
        <w:t xml:space="preserve"> provided</w:t>
      </w:r>
      <w:r>
        <w:rPr>
          <w:rFonts w:ascii="Times New Roman" w:hAnsi="Times New Roman"/>
          <w:sz w:val="20"/>
        </w:rPr>
        <w:t xml:space="preserve"> that such other changes are not adverse, in any material respect, to the interests of the Lenders), or (ii) that is expressly contemplated by any Applicable Intercreditor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Restricted Subsidiary, the Administrative Agent is authorized to release any Loan Guaranty provided by such Restricted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hAnsi="Times New Roman"/>
          <w:sz w:val="20"/>
          <w:u w:val="single"/>
        </w:rPr>
        <w:t>provided</w:t>
      </w:r>
      <w:r>
        <w:rPr>
          <w:rFonts w:ascii="Times New Roman" w:hAnsi="Times New Roman"/>
          <w:sz w:val="20"/>
        </w:rPr>
        <w:t xml:space="preserve"> that the Administrative Agent may, in its discretion, release its Liens on Collateral valued in the aggregate not in excess of $500,000 during any calendar year without the prior written authorization of the Required Lenders and may release liens on Collateral in connection with a transaction permitted by this Agreement (it being agreed that the Administrative Agent may rely conclusively on one or more certificates of the Borrower Representative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“purchase money” Lien on such property that is permitted by Section 6.02 or (ii) in the event that the Company shall have advised the Administrative Agent that, notwithstanding the use by the Borrowers of commercially reasonable efforts to obtain the consent of such holder (but without the requirement to pay any sums to obtain such consent) to permit the Administrative Agent to retain its liens (on a subordinated basis as contemplated by clause (i) above), the holder of such “purchase money” Indebtedness permitted hereunder requires, as a condition to the extension of such credit, that the Liens on such assets granted to or held by the Administrative Agent under any Loan Document be released, to release the Administrative Agent’s Liens on such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 w:hAnsi="Times New Roman"/>
          <w:sz w:val="20"/>
          <w:u w:val="single"/>
        </w:rPr>
        <w:t>Non-Consenting Lender</w:t>
      </w:r>
      <w:r>
        <w:rPr>
          <w:rFonts w:ascii="Times New Roman" w:hAnsi="Times New Roman"/>
          <w:sz w:val="20"/>
        </w:rPr>
        <w:t xml:space="preserve">”), then the Borrowers may elect to replace a Non-Consenting Lender as a Lender party to this Agreement, </w:t>
      </w:r>
      <w:r>
        <w:rPr>
          <w:rFonts w:ascii="Times New Roman" w:hAnsi="Times New Roman"/>
          <w:sz w:val="20"/>
          <w:u w:val="single"/>
        </w:rPr>
        <w:t>provided</w:t>
      </w:r>
      <w:r>
        <w:rPr>
          <w:rFonts w:ascii="Times New Roman" w:hAnsi="Times New Roman"/>
          <w:sz w:val="20"/>
        </w:rPr>
        <w:t xml:space="preserve"> that, concurrently with such replacement, (i) another bank or other entity (other than any Ineligible Institution) which is reasonably satisfactory to the Borrowers, the Administrative Agent and, if such assignee shall assume any Revolving Commitment or Revolving Exposure, the Swingline Lender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(x)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herein (i) the Administrative Agent may, with the consent of the Borrower Representative only, amend, modify or supplement this Agreement or any of the other Loan Documents to cure any ambiguity, omission, mistake, defect or inconsistency and (ii) any fee letter may be amended solely with the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Loan Parties, jointly and severally, shall pay all (i) reasonable and documented out-of-pocket expenses incurred by the Administrative Agent and its Affiliates, including the reasonable and documented fees, charges and disbursements of counsel for the Administrative Agent (but limited to one counsel for Administrative Agent and the Lenders in each applicable jurisdiction (except in the case of a conflict of interest between the Lenders, in which case, one additional counsel for each Lender similarly situated in respect of such conflict of interest shall be allowed)),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(but limited to one counsel for the Administrative Agent, the Issuing Bank and the Lenders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jurisdiction (except in the case of a conflict of interest between any such parties, in which case, one additional counsel for each such party similarly situated in respect of such conflict of interest shall be allowed)),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(including the out-of-pocket fees, charges and disbursements of other advisors and professionals engaged by the Administrative Agent and, to the extent no Event of Default has occurred and is continuing, approved by the Borrower Representative). Expenses being reimbursed by the Loan Parties under this Section include, without limiting the generality of the foregoing, fees, costs and expenses incurred in connection with: </w:t>
      </w:r>
    </w:p>
    <w:p>
      <w:pPr>
        <w:pStyle w:val="TextBody"/>
        <w:bidi w:val="0"/>
        <w:spacing w:before="120" w:after="0"/>
        <w:jc w:val="left"/>
        <w:rPr>
          <w:rFonts w:ascii="Times New Roman" w:hAnsi="Times New Roman"/>
          <w:sz w:val="20"/>
        </w:rPr>
      </w:pPr>
      <w:r>
        <w:rPr>
          <w:rFonts w:ascii="Times New Roman" w:hAnsi="Times New Roman"/>
          <w:sz w:val="20"/>
        </w:rPr>
        <w:t xml:space="preserve">(A) during the existence of an Event of Default, appraisals and insurance reviews; </w:t>
      </w:r>
    </w:p>
    <w:p>
      <w:pPr>
        <w:pStyle w:val="TextBody"/>
        <w:bidi w:val="0"/>
        <w:spacing w:before="120" w:after="0"/>
        <w:jc w:val="left"/>
        <w:rPr>
          <w:rFonts w:ascii="Times New Roman" w:hAnsi="Times New Roman"/>
          <w:sz w:val="20"/>
        </w:rPr>
      </w:pPr>
      <w:r>
        <w:rPr>
          <w:rFonts w:ascii="Times New Roman" w:hAnsi="Times New Roman"/>
          <w:sz w:val="20"/>
        </w:rPr>
        <w:t xml:space="preserve">(B) during the existence of an Event of Default, field examinations and the preparation of Reports based on the fees charged by a third party retained by the Administrative Agent or the internally allocated fees for each Person employed by the Administrative Agent with respect to each field examination; </w:t>
      </w:r>
    </w:p>
    <w:p>
      <w:pPr>
        <w:pStyle w:val="TextBody"/>
        <w:bidi w:val="0"/>
        <w:spacing w:before="120" w:after="0"/>
        <w:jc w:val="left"/>
        <w:rPr>
          <w:rFonts w:ascii="Times New Roman" w:hAnsi="Times New Roman"/>
          <w:sz w:val="20"/>
        </w:rPr>
      </w:pPr>
      <w:r>
        <w:rPr>
          <w:rFonts w:ascii="Times New Roman" w:hAnsi="Times New Roman"/>
          <w:sz w:val="20"/>
        </w:rPr>
        <w:t xml:space="preserve">(C) fees and other charges for (i) lien searches and (ii) filing financing statements and continuations, and other actions to perfect, protect, and continue the Administrative Agent’s Liens; </w:t>
      </w:r>
    </w:p>
    <w:p>
      <w:pPr>
        <w:pStyle w:val="TextBody"/>
        <w:bidi w:val="0"/>
        <w:spacing w:before="120" w:after="0"/>
        <w:jc w:val="left"/>
        <w:rPr>
          <w:rFonts w:ascii="Times New Roman" w:hAnsi="Times New Roman"/>
          <w:sz w:val="20"/>
        </w:rPr>
      </w:pPr>
      <w:r>
        <w:rPr>
          <w:rFonts w:ascii="Times New Roman" w:hAnsi="Times New Roman"/>
          <w:sz w:val="20"/>
        </w:rPr>
        <w:t xml:space="preserve">(D) sums paid or incurred to take any action required of any Loan Party under the Loan Documents that such Loan Party fails to pay or take following a request to take such action by the Administrative Agent or the Required Lenders and after the Loan Parties have had a reasonable opportunity to take such action; and </w:t>
      </w:r>
    </w:p>
    <w:p>
      <w:pPr>
        <w:pStyle w:val="TextBody"/>
        <w:bidi w:val="0"/>
        <w:spacing w:before="120" w:after="0"/>
        <w:jc w:val="left"/>
        <w:rPr>
          <w:rFonts w:ascii="Times New Roman" w:hAnsi="Times New Roman"/>
          <w:sz w:val="20"/>
        </w:rPr>
      </w:pPr>
      <w:r>
        <w:rPr>
          <w:rFonts w:ascii="Times New Roman" w:hAnsi="Times New Roman"/>
          <w:sz w:val="20"/>
        </w:rPr>
        <w:t xml:space="preserve">(E) during the existence of an Event of Default, forwarding loan proceeds, collecting checks and other items of payment, and establishing and maintaining the accounts and lock boxes, and costs and expenses of preserving and protecting the Collateral. </w:t>
      </w:r>
    </w:p>
    <w:p>
      <w:pPr>
        <w:pStyle w:val="TextBody"/>
        <w:bidi w:val="0"/>
        <w:spacing w:before="120" w:after="0"/>
        <w:jc w:val="left"/>
        <w:rPr>
          <w:rFonts w:ascii="Times New Roman" w:hAnsi="Times New Roman"/>
          <w:sz w:val="20"/>
        </w:rPr>
      </w:pPr>
      <w:r>
        <w:rPr>
          <w:rFonts w:ascii="Times New Roman" w:hAnsi="Times New Roman"/>
          <w:sz w:val="20"/>
        </w:rPr>
        <w:t>(b) The Loan Parties, jointly and severally, shall indemnify the Administrative Agent, each Arranger, each Co-Syndication Agent, each Issuing Bank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any act or omission of the Administrative Agent in connection with the administration of the Loan Documents or the credit facilities provided for herein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hAnsi="Times New Roman"/>
          <w:sz w:val="20"/>
          <w:u w:val="single"/>
        </w:rPr>
        <w:t>provided</w:t>
      </w:r>
      <w:r>
        <w:rPr>
          <w:rFonts w:ascii="Times New Roman" w:hAnsi="Times New Roman"/>
          <w:sz w:val="20"/>
        </w:rPr>
        <w:t xml:space="preserv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indemnity shall not, as to any Indemnitee, be available to the extent that such Liabilities or related expenses are determined by a court of competent jurisdiction by final and non-appealable judgment to (i) have resulted from the gross negligence, willful misconduct or bad faith of such Indemnitee or (ii) have resulted from disputes solely among the Indemnitees (other than against any Arranger, any Co-Syndication Agent or the Administrative Agent, the Issuing Bank or the Swingline Lender in its capacity as such) and not arising out of any act or omission of any Borrower or any of its Affiliates. This Section 9.03(b) shall not apply with respect to Taxes other than any Taxes that represent losses or damages arising from any non-Tax claim. </w:t>
      </w:r>
    </w:p>
    <w:p>
      <w:pPr>
        <w:pStyle w:val="TextBody"/>
        <w:bidi w:val="0"/>
        <w:spacing w:before="120" w:after="0"/>
        <w:jc w:val="left"/>
        <w:rPr>
          <w:rFonts w:ascii="Times New Roman" w:hAnsi="Times New Roman"/>
          <w:sz w:val="20"/>
        </w:rPr>
      </w:pPr>
      <w:r>
        <w:rPr>
          <w:rFonts w:ascii="Times New Roman" w:hAnsi="Times New Roman"/>
          <w:sz w:val="20"/>
        </w:rPr>
        <w:t>(c) Each Lender severally agrees to pay any amount required to be paid by any Loan Party under paragraph (a) or (b) of this Section 9.03 to the Administrative Agent, the Swingline Lender and each Issuing Bank, and each Related Party of any of the foregoing Persons (each, an “</w:t>
      </w:r>
      <w:r>
        <w:rPr>
          <w:rFonts w:ascii="Times New Roman" w:hAnsi="Times New Roman"/>
          <w:sz w:val="20"/>
          <w:u w:val="single"/>
        </w:rPr>
        <w:t>Agent Indemnitee</w:t>
      </w:r>
      <w:r>
        <w:rPr>
          <w:rFonts w:ascii="Times New Roman" w:hAnsi="Times New Roman"/>
          <w:sz w:val="20"/>
        </w:rPr>
        <w:t xml:space="preserve">”) (to the extent not reimbursed by the Loan Parties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and agrees to indemnify and hold each Agent-Indemnitee harmless from and against any and all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hAnsi="Times New Roman"/>
          <w:sz w:val="20"/>
          <w:u w:val="single"/>
        </w:rPr>
        <w:t>provided</w:t>
      </w:r>
      <w:r>
        <w:rPr>
          <w:rFonts w:ascii="Times New Roman" w:hAnsi="Times New Roman"/>
          <w:sz w:val="20"/>
        </w:rPr>
        <w:t xml:space="preserve"> that the unreimbursed expense or indemnified Liability or related expense, as the case may be, was incurred by or asserted against such Agent Indemnitee in its capacity as such; </w:t>
      </w:r>
      <w:r>
        <w:rPr>
          <w:rFonts w:ascii="Times New Roman" w:hAnsi="Times New Roman"/>
          <w:sz w:val="20"/>
          <w:u w:val="single"/>
        </w:rPr>
        <w:t>provided further</w:t>
      </w:r>
      <w:r>
        <w:rPr>
          <w:rFonts w:ascii="Times New Roman" w:hAnsi="Times New Roman"/>
          <w:sz w:val="20"/>
        </w:rPr>
        <w:t xml:space="preserve"> that no Lender shall be liable for the payment of any portion of such Liabilities, obligations,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in Full of the Secured Obligations. </w:t>
      </w:r>
    </w:p>
    <w:p>
      <w:pPr>
        <w:pStyle w:val="TextBody"/>
        <w:bidi w:val="0"/>
        <w:spacing w:before="120" w:after="0"/>
        <w:jc w:val="left"/>
        <w:rPr>
          <w:rFonts w:ascii="Times New Roman" w:hAnsi="Times New Roman"/>
          <w:sz w:val="20"/>
        </w:rPr>
      </w:pPr>
      <w:r>
        <w:rPr>
          <w:rFonts w:ascii="Times New Roman" w:hAnsi="Times New Roman"/>
          <w:sz w:val="20"/>
        </w:rPr>
        <w:t>(d) To the extent permitted by applicable law, no Loan Party shall assert, and each Loan Party hereby waives, any claim against the Administrative Agent, any Arranger, any Co-Syndication Agent, any Issuing Bank and any Lender, and any Related Party of any of the foregoing Persons (each such Person being called a “</w:t>
      </w:r>
      <w:r>
        <w:rPr>
          <w:rFonts w:ascii="Times New Roman" w:hAnsi="Times New Roman"/>
          <w:sz w:val="20"/>
          <w:u w:val="single"/>
        </w:rPr>
        <w:t>Lender-Related Person</w:t>
      </w:r>
      <w:r>
        <w:rPr>
          <w:rFonts w:ascii="Times New Roman" w:hAnsi="Times New Roman"/>
          <w:sz w:val="20"/>
        </w:rPr>
        <w:t xml:space="preserve">”), (i) for any Liabilities arising from the use by others of information or other materials obtained through telecommunications, electronic or other information transmission systems (including the Internet), or (ii) for any Liabilities,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hAnsi="Times New Roman"/>
          <w:sz w:val="20"/>
          <w:u w:val="single"/>
        </w:rPr>
        <w:t>provided</w:t>
      </w:r>
      <w:r>
        <w:rPr>
          <w:rFonts w:ascii="Times New Roman" w:hAnsi="Times New Roman"/>
          <w:sz w:val="20"/>
        </w:rPr>
        <w:t xml:space="preserve"> that, nothing in this paragraph (d) shall relieve any Loan Party of any obligation it may have to indemnify a Lender-Related Person against special, indirect, consequential or punitive damages asserted against such Indemnitee by a third party. </w:t>
      </w:r>
    </w:p>
    <w:p>
      <w:pPr>
        <w:pStyle w:val="TextBody"/>
        <w:bidi w:val="0"/>
        <w:spacing w:before="120" w:after="0"/>
        <w:jc w:val="left"/>
        <w:rPr>
          <w:rFonts w:ascii="Times New Roman" w:hAnsi="Times New Roman"/>
          <w:sz w:val="20"/>
        </w:rPr>
      </w:pPr>
      <w:r>
        <w:rPr>
          <w:rFonts w:ascii="Times New Roman" w:hAnsi="Times New Roman"/>
          <w:sz w:val="20"/>
        </w:rPr>
        <w:t xml:space="preserve">(e) All amounts due under this Section shall be payable promptly after written demand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Representative, </w:t>
      </w:r>
      <w:r>
        <w:rPr>
          <w:rFonts w:ascii="Times New Roman" w:hAnsi="Times New Roman"/>
          <w:sz w:val="20"/>
          <w:u w:val="single"/>
        </w:rPr>
        <w:t>provided</w:t>
      </w:r>
      <w:r>
        <w:rPr>
          <w:rFonts w:ascii="Times New Roman" w:hAnsi="Times New Roman"/>
          <w:sz w:val="20"/>
        </w:rPr>
        <w:t xml:space="preserve"> that, the Borrower Representative shall be deemed to have consented to an assignment of all or a portion of the Loans and Commitments unless it shall object thereto by written notice to the Administrative Agent within ten (10) Business Days after having received notice thereof, and </w:t>
      </w:r>
      <w:r>
        <w:rPr>
          <w:rFonts w:ascii="Times New Roman" w:hAnsi="Times New Roman"/>
          <w:sz w:val="20"/>
          <w:u w:val="single"/>
        </w:rPr>
        <w:t>provided further</w:t>
      </w:r>
      <w:r>
        <w:rPr>
          <w:rFonts w:ascii="Times New Roman" w:hAnsi="Times New Roman"/>
          <w:sz w:val="20"/>
        </w:rPr>
        <w:t xml:space="preserve"> that no consent of the Borrower Representative shall be required for an assignment to a Lender, an Affiliate of a Lender (other than a Defaulting Lender), an Approved Fund or, if an Event of Default under Section 7.01(a), (b), (h) or (i) has occurred and is continuing, any other assignee;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of (x) any Revolving Commitment or Revolving Loan to an assignee that is a Lender (other than a Defaulting Lender) with a Revolving Commitment immediately prior to giving effect to such assignment and (y) all or any portion of a Term Loan or Term Loan Commitment to a Lender, an Affiliate of a Lender or an Approved Fund; </w:t>
      </w:r>
    </w:p>
    <w:p>
      <w:pPr>
        <w:pStyle w:val="TextBody"/>
        <w:bidi w:val="0"/>
        <w:spacing w:before="120" w:after="0"/>
        <w:jc w:val="left"/>
        <w:rPr>
          <w:rFonts w:ascii="Times New Roman" w:hAnsi="Times New Roman"/>
          <w:sz w:val="20"/>
        </w:rPr>
      </w:pPr>
      <w:r>
        <w:rPr>
          <w:rFonts w:ascii="Times New Roman" w:hAnsi="Times New Roman"/>
          <w:sz w:val="20"/>
        </w:rPr>
        <w:t xml:space="preserve">(C) the Issuing Bank; </w:t>
      </w:r>
      <w:r>
        <w:rPr>
          <w:rFonts w:ascii="Times New Roman" w:hAnsi="Times New Roman"/>
          <w:sz w:val="20"/>
          <w:u w:val="single"/>
        </w:rPr>
        <w:t>provided</w:t>
      </w:r>
      <w:r>
        <w:rPr>
          <w:rFonts w:ascii="Times New Roman" w:hAnsi="Times New Roman"/>
          <w:sz w:val="20"/>
        </w:rPr>
        <w:t xml:space="preserve"> that no consent of the Issuing Bank shall be required for an assignment of all or any portion of a Term Loan or Term Loan Commitment; and </w:t>
      </w:r>
    </w:p>
    <w:p>
      <w:pPr>
        <w:pStyle w:val="TextBody"/>
        <w:bidi w:val="0"/>
        <w:spacing w:before="120" w:after="0"/>
        <w:jc w:val="left"/>
        <w:rPr>
          <w:rFonts w:ascii="Times New Roman" w:hAnsi="Times New Roman"/>
          <w:sz w:val="20"/>
        </w:rPr>
      </w:pPr>
      <w:r>
        <w:rPr>
          <w:rFonts w:ascii="Times New Roman" w:hAnsi="Times New Roman"/>
          <w:sz w:val="20"/>
        </w:rPr>
        <w:t xml:space="preserve">(D) the Swingline Lender; </w:t>
      </w:r>
      <w:r>
        <w:rPr>
          <w:rFonts w:ascii="Times New Roman" w:hAnsi="Times New Roman"/>
          <w:sz w:val="20"/>
          <w:u w:val="single"/>
        </w:rPr>
        <w:t>provided</w:t>
      </w:r>
      <w:r>
        <w:rPr>
          <w:rFonts w:ascii="Times New Roman" w:hAnsi="Times New Roman"/>
          <w:sz w:val="20"/>
        </w:rPr>
        <w:t xml:space="preserve"> that no consent of the Swingline Lender shall be required for an assignment of all or any portion of a Term Loan or Term Loan Commitment.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a Revolving Commitment or Revolving Loans) or $1,000,000 (in the case of a Term Loan Commitment or Term Loans) unless each of the Borrower Representative and the Administrative Agent otherwise consent, </w:t>
      </w:r>
      <w:r>
        <w:rPr>
          <w:rFonts w:ascii="Times New Roman" w:hAnsi="Times New Roman"/>
          <w:sz w:val="20"/>
          <w:u w:val="single"/>
        </w:rPr>
        <w:t>provided</w:t>
      </w:r>
      <w:r>
        <w:rPr>
          <w:rFonts w:ascii="Times New Roman" w:hAnsi="Times New Roman"/>
          <w:sz w:val="20"/>
        </w:rPr>
        <w:t xml:space="preserve"> that no such consent of the Borrower Representative shall be required if an Event of Default under Section 7.01(a), (b), (h) or (i) has occurred and is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partial assignment shall be made as an assignment of a proportionate part of all the assigning Lender’s rights and obligations under this Agreement; </w:t>
      </w:r>
      <w:r>
        <w:rPr>
          <w:rFonts w:ascii="Times New Roman" w:hAnsi="Times New Roman"/>
          <w:sz w:val="20"/>
          <w:u w:val="single"/>
        </w:rPr>
        <w:t>provided</w:t>
      </w:r>
      <w:r>
        <w:rPr>
          <w:rFonts w:ascii="Times New Roman" w:hAnsi="Times New Roman"/>
          <w:sz w:val="20"/>
        </w:rPr>
        <w:t xml:space="preserve"> that this clause shall not be construed to prohibit the assignment of a proportionate part of all the assigning Lender’s rights and obligations in respect of one Class of Commitments or Loans; </w:t>
      </w:r>
    </w:p>
    <w:p>
      <w:pPr>
        <w:pStyle w:val="TextBody"/>
        <w:bidi w:val="0"/>
        <w:spacing w:before="120" w:after="0"/>
        <w:jc w:val="left"/>
        <w:rPr>
          <w:rFonts w:ascii="Times New Roman" w:hAnsi="Times New Roman"/>
          <w:sz w:val="20"/>
        </w:rPr>
      </w:pPr>
      <w:r>
        <w:rPr>
          <w:rFonts w:ascii="Times New Roman" w:hAnsi="Times New Roman"/>
          <w:sz w:val="20"/>
        </w:rPr>
        <w:t xml:space="preserve">(C)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w:t>
      </w:r>
    </w:p>
    <w:p>
      <w:pPr>
        <w:pStyle w:val="TextBody"/>
        <w:bidi w:val="0"/>
        <w:spacing w:before="120" w:after="0"/>
        <w:jc w:val="left"/>
        <w:rPr>
          <w:rFonts w:ascii="Times New Roman" w:hAnsi="Times New Roman"/>
          <w:sz w:val="20"/>
        </w:rPr>
      </w:pPr>
      <w:r>
        <w:rPr>
          <w:rFonts w:ascii="Times New Roman" w:hAnsi="Times New Roman"/>
          <w:sz w:val="20"/>
        </w:rPr>
        <w:t xml:space="preserve">(D)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9.04(b), the terms “</w:t>
      </w:r>
      <w:r>
        <w:rPr>
          <w:rFonts w:ascii="Times New Roman" w:hAnsi="Times New Roman"/>
          <w:sz w:val="20"/>
          <w:u w:val="single"/>
        </w:rPr>
        <w:t>Approved Fund</w:t>
      </w:r>
      <w:r>
        <w:rPr>
          <w:rFonts w:ascii="Times New Roman" w:hAnsi="Times New Roman"/>
          <w:sz w:val="20"/>
        </w:rPr>
        <w:t>” and “</w:t>
      </w:r>
      <w:r>
        <w:rPr>
          <w:rFonts w:ascii="Times New Roman" w:hAnsi="Times New Roman"/>
          <w:sz w:val="20"/>
          <w:u w:val="single"/>
        </w:rPr>
        <w:t>Ineligible Institution</w:t>
      </w:r>
      <w:r>
        <w:rPr>
          <w:rFonts w:ascii="Times New Roman" w:hAnsi="Times New Roman"/>
          <w:sz w:val="20"/>
        </w:rPr>
        <w:t xml:space="preserve">” have the following meanings: </w:t>
      </w:r>
    </w:p>
    <w:p>
      <w:pPr>
        <w:pStyle w:val="TextBody"/>
        <w:bidi w:val="0"/>
        <w:spacing w:before="24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240" w:after="0"/>
        <w:jc w:val="left"/>
        <w:rPr/>
      </w:pPr>
      <w:r>
        <w:rPr/>
        <w:t>“</w:t>
      </w:r>
      <w:r>
        <w:rPr>
          <w:rFonts w:ascii="Times New Roman" w:hAnsi="Times New Roman"/>
          <w:sz w:val="20"/>
          <w:u w:val="single"/>
        </w:rPr>
        <w:t>Ineligible Institution</w:t>
      </w:r>
      <w:r>
        <w:rPr>
          <w:rFonts w:ascii="Times New Roman" w:hAnsi="Times New Roman"/>
          <w:sz w:val="20"/>
        </w:rPr>
        <w:t xml:space="preserve">” means (a) a natural person, (b) a Defaulting Lender or its Parent, (c) holding company, investment vehicle or trust for, or owned and operated for the primary benefit of, a natural person or relative(s) thereof; </w:t>
      </w:r>
      <w:r>
        <w:rPr>
          <w:rFonts w:ascii="Times New Roman" w:hAnsi="Times New Roman"/>
          <w:sz w:val="20"/>
          <w:u w:val="single"/>
        </w:rPr>
        <w:t>provided</w:t>
      </w:r>
      <w:r>
        <w:rPr>
          <w:rFonts w:ascii="Times New Roman" w:hAnsi="Times New Roman"/>
          <w:sz w:val="20"/>
        </w:rPr>
        <w:t xml:space="preserve"> that, with respect to clause (c), such holding company, investment vehicle or trust shall not constitute an Ineligible Institution if it (i) has not been established for the primary purpose of acquiring any Loans or Commitments, (ii) is managed by a professional advisor, who is not such natural person or a relative thereof, having significant experience in the business of making or purchasing commercial loans, and (iii) has assets greater than $25,000,000 and a significant part of its activities consist of making or purchasing commercial loans and similar extensions of credit in the ordinary course of its business; provided that upon the occurrence and during the continuance of an Event of Default, any Person (other than a Lender) shall be an Ineligible Institution if after giving effect to any proposed assignment to such Person, such Person would hold more than 25% of the then outstanding Aggregate Revolving Exposure or Commitments, as the case may be, (d) except as otherwise permitted under Section 9.04(f) or (g), as applicable, a Loan Party or a Subsidiary or other Affiliate of a Loan Party, or (e) a Disqualified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120" w:after="0"/>
        <w:jc w:val="left"/>
        <w:rPr>
          <w:rFonts w:ascii="Times New Roman" w:hAnsi="Times New Roman"/>
          <w:sz w:val="20"/>
        </w:rPr>
      </w:pPr>
      <w:r>
        <w:rPr>
          <w:rFonts w:ascii="Times New Roman" w:hAnsi="Times New Roman"/>
          <w:sz w:val="20"/>
        </w:rPr>
        <w:t>(c) Any Lender may, without the consent of the Borrowers, the Administrative Agent, the Swingline Lender or the Issuing Bank, sell participations to one or more banks or other entities (a “</w:t>
      </w:r>
      <w:r>
        <w:rPr>
          <w:rFonts w:ascii="Times New Roman" w:hAnsi="Times New Roman"/>
          <w:sz w:val="20"/>
          <w:u w:val="single"/>
        </w:rPr>
        <w:t>Participant</w:t>
      </w:r>
      <w:r>
        <w:rPr>
          <w:rFonts w:ascii="Times New Roman" w:hAnsi="Times New Roman"/>
          <w:sz w:val="20"/>
        </w:rPr>
        <w:t xml:space="preserve">”) other than an Ineligible Institution in all or a portion of such Lender’s rights and obligations under this Agreement (including all or a portion of its Commitments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Sections 2.17(f) and (g) (it being understood that the documentation required under Section 2.17(f) shall be delivered to the participating Lender and the information and documentation required under Section 2.17(g) will be delivered to the Borrower Representative and the Administrative Agent)) to the same extent as if it were a Lender and had acquired its interest by assignment pursuant to paragraph (b) of this Section; </w:t>
      </w:r>
      <w:r>
        <w:rPr>
          <w:rFonts w:ascii="Times New Roman" w:hAnsi="Times New Roman"/>
          <w:sz w:val="20"/>
          <w:u w:val="single"/>
        </w:rPr>
        <w:t>provided</w:t>
      </w:r>
      <w:r>
        <w:rPr>
          <w:rFonts w:ascii="Times New Roman" w:hAnsi="Times New Roman"/>
          <w:sz w:val="20"/>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w:t>
      </w:r>
    </w:p>
    <w:p>
      <w:pPr>
        <w:pStyle w:val="TextBody"/>
        <w:bidi w:val="0"/>
        <w:spacing w:before="240" w:after="0"/>
        <w:jc w:val="left"/>
        <w:rPr>
          <w:rFonts w:ascii="Times New Roman" w:hAnsi="Times New Roman"/>
          <w:sz w:val="20"/>
        </w:rPr>
      </w:pPr>
      <w:r>
        <w:rPr>
          <w:rFonts w:ascii="Times New Roman" w:hAnsi="Times New Roman"/>
          <w:sz w:val="20"/>
        </w:rPr>
        <w:t>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120" w:after="0"/>
        <w:jc w:val="left"/>
        <w:rPr>
          <w:rFonts w:ascii="Times New Roman" w:hAnsi="Times New Roman"/>
          <w:sz w:val="20"/>
        </w:rPr>
      </w:pPr>
      <w:r>
        <w:rPr>
          <w:rFonts w:ascii="Times New Roman" w:hAnsi="Times New Roman"/>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Disqualified Institutions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 assignment or participation shall be made to any Person that was a Disqualified Institution as of the date (the “</w:t>
      </w:r>
      <w:r>
        <w:rPr>
          <w:rFonts w:ascii="Times New Roman" w:hAnsi="Times New Roman"/>
          <w:sz w:val="20"/>
          <w:u w:val="single"/>
        </w:rPr>
        <w:t>Trade Date</w:t>
      </w:r>
      <w:r>
        <w:rPr>
          <w:rFonts w:ascii="Times New Roman" w:hAnsi="Times New Roman"/>
          <w:sz w:val="20"/>
        </w:rPr>
        <w:t xml:space="preserv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written supplement to the list of “Disqualified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Institutions” referred to in, the definition of “Disqualified Institution”),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Institution. Any assignment or participation in violation of this clause (e)(i) shall not be void, but the other provisions of this clause (e) shall apply. </w:t>
      </w:r>
    </w:p>
    <w:p>
      <w:pPr>
        <w:pStyle w:val="TextBody"/>
        <w:bidi w:val="0"/>
        <w:spacing w:before="120" w:after="0"/>
        <w:jc w:val="left"/>
        <w:rPr>
          <w:rFonts w:ascii="Times New Roman" w:hAnsi="Times New Roman"/>
          <w:sz w:val="20"/>
        </w:rPr>
      </w:pPr>
      <w:r>
        <w:rPr>
          <w:rFonts w:ascii="Times New Roman" w:hAnsi="Times New Roman"/>
          <w:sz w:val="20"/>
        </w:rPr>
        <w:t xml:space="preserve">(ii) If any assignment or participation is made to any Disqualified Institution without the Company’s prior written consent in violation of clause (i)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Section 9.04),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 </w:t>
      </w:r>
    </w:p>
    <w:p>
      <w:pPr>
        <w:pStyle w:val="TextBody"/>
        <w:bidi w:val="0"/>
        <w:spacing w:before="120" w:after="0"/>
        <w:jc w:val="left"/>
        <w:rPr>
          <w:rFonts w:ascii="Times New Roman" w:hAnsi="Times New Roman"/>
          <w:sz w:val="20"/>
        </w:rPr>
      </w:pPr>
      <w:r>
        <w:rPr>
          <w:rFonts w:ascii="Times New Roman" w:hAnsi="Times New Roman"/>
          <w:sz w:val="20"/>
        </w:rPr>
        <w:t>(iii)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Company</w:t>
      </w:r>
      <w:r>
        <w:rPr>
          <w:rFonts w:ascii="Times New Roman" w:hAnsi="Times New Roman"/>
          <w:strike/>
          <w:color w:val="FF0000"/>
          <w:sz w:val="20"/>
        </w:rPr>
        <w:t>,</w:t>
      </w:r>
      <w:r>
        <w:rPr>
          <w:rFonts w:ascii="Times New Roman" w:hAnsi="Times New Roman"/>
          <w:color w:val="0000FF"/>
          <w:sz w:val="20"/>
          <w:u w:val="single"/>
          <w:bdr w:val="double" w:sz="2" w:space="1" w:color="000000"/>
        </w:rPr>
        <w:t xml:space="preserve"> (or, after the consummation of the Take-Private Transaction, HoldCo),</w:t>
      </w:r>
      <w:r>
        <w:rPr>
          <w:rFonts w:ascii="Times New Roman" w:hAnsi="Times New Roman"/>
          <w:sz w:val="20"/>
        </w:rPr>
        <w:t xml:space="preserve">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or Insolvency Laws), and such vote shall not be counted in determining whether the applicable class has accepted or rejected such plan of reorganization in accordance with Section 1126(c) of the Bankruptcy Code (or any similar provision in any other applicable laws or Insolvency Laws) and (3) not to contest any request by any party for a determination by the Bankruptcy Court (or other applicable court of competent jurisdiction) effectuating the foregoing clause (2). </w:t>
      </w:r>
    </w:p>
    <w:p>
      <w:pPr>
        <w:pStyle w:val="TextBody"/>
        <w:bidi w:val="0"/>
        <w:spacing w:before="120" w:after="0"/>
        <w:jc w:val="left"/>
        <w:rPr>
          <w:rFonts w:ascii="Times New Roman" w:hAnsi="Times New Roman"/>
          <w:sz w:val="20"/>
        </w:rPr>
      </w:pPr>
      <w:r>
        <w:rPr>
          <w:rFonts w:ascii="Times New Roman" w:hAnsi="Times New Roman"/>
          <w:sz w:val="20"/>
        </w:rPr>
        <w:t>(iv) 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 w:hAnsi="Times New Roman"/>
          <w:sz w:val="20"/>
          <w:u w:val="single"/>
        </w:rPr>
        <w:t>DQ List</w:t>
      </w:r>
      <w:r>
        <w:rPr>
          <w:rFonts w:ascii="Times New Roman" w:hAnsi="Times New Roman"/>
          <w:sz w:val="20"/>
        </w:rPr>
        <w:t xml:space="preserve">”) on an Approved Electronic Platform, including that portion of such Approved Electronic Platform that is designated for “public side” Lenders and/or (B) provide the DQ List to each Lender or potential Lender requesting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Affiliate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contained herein, any Lender may assign all or any portion of its Term Loans hereunder to any Affiliate Lender (including any Debt Fund Affiliate), but only if: </w:t>
      </w:r>
    </w:p>
    <w:p>
      <w:pPr>
        <w:pStyle w:val="TextBody"/>
        <w:bidi w:val="0"/>
        <w:spacing w:before="120" w:after="0"/>
        <w:jc w:val="left"/>
        <w:rPr>
          <w:rFonts w:ascii="Times New Roman" w:hAnsi="Times New Roman"/>
          <w:sz w:val="20"/>
        </w:rPr>
      </w:pPr>
      <w:r>
        <w:rPr>
          <w:rFonts w:ascii="Times New Roman" w:hAnsi="Times New Roman"/>
          <w:sz w:val="20"/>
        </w:rPr>
        <w:t xml:space="preserve">(A) (x) such assignment is made pursuant to a Dutch Auction open to all Lenders holding Term Loans of the specified Class on a pro rata basis or (y) such assignment is made as an open market purchase on a non-pro rata basis, in each case, in accordance with customary procedures to be mutually agreed between the Company and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(B) no Event of Default under Section 7.01(a), (b), (h) or (i) 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(C) the assigning Lender and Affiliate Lender or Debt Fund Affiliate purchasing such Lender’s Term Loans shall execute and deliver to the Administrative Agent an assignment agreement substantially in the form of </w:t>
      </w:r>
      <w:r>
        <w:rPr>
          <w:rFonts w:ascii="Times New Roman" w:hAnsi="Times New Roman"/>
          <w:sz w:val="20"/>
          <w:u w:val="single"/>
        </w:rPr>
        <w:t>Exhibit F</w:t>
      </w:r>
      <w:r>
        <w:rPr>
          <w:rFonts w:ascii="Times New Roman" w:hAnsi="Times New Roman"/>
          <w:sz w:val="20"/>
        </w:rPr>
        <w:t xml:space="preserve"> hereto (an “</w:t>
      </w:r>
      <w:r>
        <w:rPr>
          <w:rFonts w:ascii="Times New Roman" w:hAnsi="Times New Roman"/>
          <w:sz w:val="20"/>
          <w:u w:val="single"/>
        </w:rPr>
        <w:t>Affiliate Lender Assignment and Assumption</w:t>
      </w:r>
      <w:r>
        <w:rPr>
          <w:rFonts w:ascii="Times New Roman" w:hAnsi="Times New Roman"/>
          <w:sz w:val="20"/>
        </w:rPr>
        <w:t xml:space="preserve">”) in lieu of an Assignment and Assumption, and the Administrative Agent shall be under no obligation to record such assignment in the Register, as applicable until three (3) Business Days after receipt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(D) after giving effect to such assignment, Affiliate Lenders (other than Debt Fund Affiliates) shall not, in the aggregate, own or hold Term Loans with an aggregate principal amount in excess of </w:t>
      </w:r>
      <w:r>
        <w:rPr>
          <w:rFonts w:ascii="Times New Roman" w:hAnsi="Times New Roman"/>
          <w:strike/>
          <w:color w:val="FF0000"/>
          <w:sz w:val="20"/>
        </w:rPr>
        <w:t>20</w:t>
      </w:r>
      <w:r>
        <w:rPr>
          <w:rFonts w:ascii="Times New Roman" w:hAnsi="Times New Roman"/>
          <w:color w:val="0000FF"/>
          <w:sz w:val="20"/>
          <w:u w:val="single"/>
          <w:bdr w:val="double" w:sz="2" w:space="1" w:color="000000"/>
        </w:rPr>
        <w:t>25</w:t>
      </w:r>
      <w:r>
        <w:rPr>
          <w:rFonts w:ascii="Times New Roman" w:hAnsi="Times New Roman"/>
          <w:sz w:val="20"/>
        </w:rPr>
        <w:t>% of the principal amount of all Term Loans, Incremental Term Loans, or any refinancing of any thereof, in each case, then outstanding (calculated as of the date of such purchase) (such percentage, the “</w:t>
      </w:r>
      <w:r>
        <w:rPr>
          <w:rFonts w:ascii="Times New Roman" w:hAnsi="Times New Roman"/>
          <w:sz w:val="20"/>
          <w:u w:val="single"/>
        </w:rPr>
        <w:t>Affiliate Lender Cap</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each of the parties hereto agrees and acknowledges that the Administrative Agent shall not be liable for any Liabilities, losses, damages, penalties, claims, demands, actions, judgments, suits, costs, expenses and disbursements of any kind or nature whatsoever incurred or suffered by any Person in connection with any compliance or non-compliance with this </w:t>
      </w:r>
      <w:r>
        <w:rPr>
          <w:rFonts w:ascii="Times New Roman" w:hAnsi="Times New Roman"/>
          <w:sz w:val="20"/>
          <w:u w:val="single"/>
        </w:rPr>
        <w:t>paragraph (D)</w:t>
      </w:r>
      <w:r>
        <w:rPr>
          <w:rFonts w:ascii="Times New Roman" w:hAnsi="Times New Roman"/>
          <w:sz w:val="20"/>
        </w:rPr>
        <w:t xml:space="preserve"> or any purported assignment exceeding the Affiliate Lender Cap; </w:t>
      </w:r>
    </w:p>
    <w:p>
      <w:pPr>
        <w:pStyle w:val="TextBody"/>
        <w:bidi w:val="0"/>
        <w:spacing w:before="120" w:after="0"/>
        <w:jc w:val="left"/>
        <w:rPr>
          <w:rFonts w:ascii="Times New Roman" w:hAnsi="Times New Roman"/>
          <w:sz w:val="20"/>
        </w:rPr>
      </w:pPr>
      <w:r>
        <w:rPr>
          <w:rFonts w:ascii="Times New Roman" w:hAnsi="Times New Roman"/>
          <w:sz w:val="20"/>
        </w:rPr>
        <w:t xml:space="preserve">(E) such Affiliate Lender (excluding any Debt Fund Affiliates) shall agree, notwithstanding anything in this Agreement or the other Loan Documents to the contrary, that if a proceeding under any Debtor Relief Law shall be commenced by or against the Company or any other Loan Party at a time when such Lender is an Affiliate Lender, such Affiliate Lender irrevocably authorizes and empowers the Administrative Agent to vote in connection with any plan of reorganization on behalf of such Affiliate Lender with respect to the Term Loans held by such Affiliate Lender in the same proportion as Lenders that are not Affiliate Lenders; </w:t>
      </w:r>
      <w:r>
        <w:rPr>
          <w:rFonts w:ascii="Times New Roman" w:hAnsi="Times New Roman"/>
          <w:sz w:val="20"/>
          <w:u w:val="single"/>
        </w:rPr>
        <w:t>provided</w:t>
      </w:r>
      <w:r>
        <w:rPr>
          <w:rFonts w:ascii="Times New Roman" w:hAnsi="Times New Roman"/>
          <w:sz w:val="20"/>
        </w:rPr>
        <w:t xml:space="preserve"> that such Affiliate Lender shall be entitled to vote in accordance with its sole discretion (and not be deemed to vote in the same proportion as Lenders that are not Affiliate Lenders) to the extent any such plan of reorganization proposes to treat any Obligations held by such Affiliate Lender in a disproportionately adverse manner to such Affiliate Lender than the proposed treatment of similar Obligations held by Term Lenders that are not Affiliate Lenders or deprives such Affiliate Lenders of its pro rata share of any payment to which all Lenders of the same Class are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such Affiliate Lender (other than Debt Fund Affiliates) shall (x) at the time of such assignment state that it is an Affiliate Lender, (y) all times thereafter be subject to the voting restrictions specified in Section 9.02 and (z) at the time of any sale by it of any portion of such Term Loans (other than a sale to another Affiliate Lender), affirm that it is an Affiliate Lender; </w:t>
      </w:r>
    </w:p>
    <w:p>
      <w:pPr>
        <w:pStyle w:val="TextBody"/>
        <w:bidi w:val="0"/>
        <w:spacing w:before="120" w:after="0"/>
        <w:jc w:val="left"/>
        <w:rPr>
          <w:rFonts w:ascii="Times New Roman" w:hAnsi="Times New Roman"/>
          <w:sz w:val="20"/>
        </w:rPr>
      </w:pPr>
      <w:r>
        <w:rPr>
          <w:rFonts w:ascii="Times New Roman" w:hAnsi="Times New Roman"/>
          <w:sz w:val="20"/>
        </w:rPr>
        <w:t xml:space="preserve">(G) (i) such Affiliate Lenders (other than Debt Fund Affiliates) shall not have any right to attend (including by telephone) any meeting or discussions (or portion thereof) among the Administrative Agent or any other Lender to which representatives of the Borrowers are not then present and (ii) Affiliate Lenders (other than Debt Fund Affiliates) shall not have any right to receive any information or material prepared by the Administrative Agent or any other Lender or any communication by or among the Administrative Agent and one or more other Lenders, except to the extent such information or materials have been made available to the Borrowers or their representatives, other than the right to receive notices of prepayments and other administrative notices in respect of its Loans or Commitments required to be delivered to Lenders pursuant to Article II; </w:t>
      </w:r>
    </w:p>
    <w:p>
      <w:pPr>
        <w:pStyle w:val="TextBody"/>
        <w:bidi w:val="0"/>
        <w:spacing w:before="120" w:after="0"/>
        <w:jc w:val="left"/>
        <w:rPr>
          <w:rFonts w:ascii="Times New Roman" w:hAnsi="Times New Roman"/>
          <w:sz w:val="20"/>
        </w:rPr>
      </w:pPr>
      <w:r>
        <w:rPr>
          <w:rFonts w:ascii="Times New Roman" w:hAnsi="Times New Roman"/>
          <w:sz w:val="20"/>
        </w:rPr>
        <w:t xml:space="preserve">(H) such Affiliate Lender or Debt Fund Affiliate, as applicable, shall either (I) make a representation to the selling Lender that it does not possess material non-public information with respect to the Borrowers and their Subsidiaries or the securities of any of them that has not been disclosed to the Lenders generally (other than Lenders who elect not to receive such information) or (II) disclose that it cannot make such representation, in which case, the applicable assigning Lender shall be deemed to expressly re-make the acknowledgement set forth in clause (iii) below in connection with such assignment; and </w:t>
      </w:r>
    </w:p>
    <w:p>
      <w:pPr>
        <w:pStyle w:val="TextBody"/>
        <w:bidi w:val="0"/>
        <w:spacing w:before="120" w:after="0"/>
        <w:jc w:val="left"/>
        <w:rPr>
          <w:rFonts w:ascii="Times New Roman" w:hAnsi="Times New Roman"/>
          <w:sz w:val="20"/>
        </w:rPr>
      </w:pPr>
      <w:r>
        <w:rPr>
          <w:rFonts w:ascii="Times New Roman" w:hAnsi="Times New Roman"/>
          <w:sz w:val="20"/>
        </w:rPr>
        <w:t xml:space="preserve">(I) proceeds of </w:t>
      </w:r>
      <w:r>
        <w:rPr>
          <w:rFonts w:ascii="Times New Roman" w:hAnsi="Times New Roman"/>
          <w:color w:val="0000FF"/>
          <w:sz w:val="20"/>
          <w:u w:val="single"/>
          <w:bdr w:val="double" w:sz="2" w:space="1" w:color="000000"/>
        </w:rPr>
        <w:t xml:space="preserve">Revolving </w:t>
      </w:r>
      <w:r>
        <w:rPr>
          <w:rFonts w:ascii="Times New Roman" w:hAnsi="Times New Roman"/>
          <w:sz w:val="20"/>
        </w:rPr>
        <w:t xml:space="preserve">Loans may not be used to finance such assignment.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herein, any Affiliate Lender that has purchased Term Loans pursuant to this Section 9.04(f) may in its sole discretion, contribute, directly or indirectly, the principal amount of such Term Loans or any portion thereof, plus all accrued and unpaid interest thereon, to the Borrowers for the purpose of cancelling and extinguishing such Term Loans. Upon the date of such contribution, assignment or transfer, (x) the aggregate outstanding principal amount of Term Loans shall reflect such cancellation and extinguishing of the Term Loans then held by the Borrowers and each principal repayment installment with respect to the Term Loans of such Class pursuant to Section 2.10 shall be reduced pro rata by the par value of the aggregate principal amount of Term Loans so contributed (and subsequently cancelled) and (y) the Borrowers shall promptly provide notice to the Administrative Agent of such contribution of such Term Loans, and the Administrative Agent, upon receipt of such notice, shall reflect the cancellation of the applicable Term Loans in the Register. </w:t>
      </w:r>
    </w:p>
    <w:p>
      <w:pPr>
        <w:pStyle w:val="TextBody"/>
        <w:bidi w:val="0"/>
        <w:spacing w:before="120" w:after="0"/>
        <w:jc w:val="left"/>
        <w:rPr>
          <w:rFonts w:ascii="Times New Roman" w:hAnsi="Times New Roman"/>
          <w:sz w:val="20"/>
        </w:rPr>
      </w:pPr>
      <w:r>
        <w:rPr>
          <w:rFonts w:ascii="Times New Roman" w:hAnsi="Times New Roman"/>
          <w:sz w:val="20"/>
        </w:rPr>
        <w:t xml:space="preserve">(iii) Each Lender participating in any assignment to Affiliate Lenders acknowledges and agrees that in connection with such assignment, (1) the Affiliate Lenders then may have, and later may come into possession of material non-public information, (2) such Lender has independently and, without reliance on the Affiliate Lenders or any of their Subsidiaries, the Borrowers or any of their Subsidiaries, the Administrative Agent or any other Agent Indemnitee, made its own analysis and determination to participate in such assignment notwithstanding such Lender’s lack of knowledge of the material non-public information, (3) none of the Affiliate Lenders or any of their Subsidiaries, the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their Subsidiaries shall be required to make any representation that it is not in possession of material non-public information, (4) none of the Affiliate Lenders or its Affiliates, the Borrowers or any of their Subsidiaries or Affiliates, the Administrative Agent or any other Agent Indemnitee shall have any liability to such Lender, and such Lender hereby waives and releases, to the extent permitted by law, any claims such Lender may have against any Affiliate Lender or Affiliate thereof, the Borrowers or any of their Subsidiaries or Affiliates, the Administrative Agent and any other Agent Indemnitee, under applicable laws or otherwise, with respect to the nondisclosure of the material non-public information and (5) that the material non-public information may not be available to the Administrative Agent or the other Lenders. Each Affiliate Lender and each Debt Fund Affiliate agrees to notify the Administrative Agent promptly (and in any event within ten (10) Business Days) if it acquires any Person who is also a Lender, and each Lender agrees to notify the Administrative Agent promptly (and in any event within ten (10) Business Days) if it becomes an Affiliate Lender or an Debt Fund Affiliate.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in Section 9.02 or the definition of “Required Lenders”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determining whether the Required Lenders have (x) consented (or not consented) to any amendment, modification, waiver, consent or other action with respect to any of the terms of any Loan Document or any departure by any Loan Party therefrom or, subject to Section 9.04(f)(i)(E), any plan of reorganization pursuant to the Bankruptcy Code, (y) otherwise acted on any matter related to any Loan Document, or (z) directed or required the Administrative Agent or any Lender to undertake any action (or refrain from taking any action) with respect to or under any Loan Document, no Affiliate Lender shall have any right to consent (or not consent), otherwise act or direct or require the Administrative Agent or any Lender to take (or refrain from taking) any such action and all Term Loans held by such Affiliate Lenders shall be deemed to have been voted in the same proportion as the allocation of voting by Term Lenders that are not Affiliate Lenders for all purposes of calculating whether the Required Lenders have taken any actions; </w:t>
      </w:r>
    </w:p>
    <w:p>
      <w:pPr>
        <w:pStyle w:val="TextBody"/>
        <w:bidi w:val="0"/>
        <w:spacing w:before="120" w:after="0"/>
        <w:jc w:val="left"/>
        <w:rPr>
          <w:rFonts w:ascii="Times New Roman" w:hAnsi="Times New Roman"/>
          <w:sz w:val="20"/>
        </w:rPr>
      </w:pPr>
      <w:r>
        <w:rPr>
          <w:rFonts w:ascii="Times New Roman" w:hAnsi="Times New Roman"/>
          <w:sz w:val="20"/>
        </w:rPr>
        <w:t xml:space="preserve">(B) Debt Fund Affiliates may not in the aggregate account for more than 25% of the amounts set forth in the calculation of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above, Affiliate Lenders and Debt Fund Affiliates shall have the right to vote on any amendment, modification, waiver, consent or other action described in the first proviso to </w:t>
      </w:r>
      <w:r>
        <w:rPr>
          <w:rFonts w:ascii="Times New Roman" w:hAnsi="Times New Roman"/>
          <w:sz w:val="20"/>
          <w:u w:val="single"/>
        </w:rPr>
        <w:t>Section 9.02</w:t>
      </w:r>
      <w:r>
        <w:rPr>
          <w:rFonts w:ascii="Times New Roman" w:hAnsi="Times New Roman"/>
          <w:sz w:val="20"/>
        </w:rPr>
        <w:t xml:space="preserve"> or otherwise requiring the written consent of each Lender or, if such Affiliate Lenders or Debt Fund Affiliates are directly affected thereby, of each Lender directly affected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above, no amendment, modification, waiver, consent or other action with respect to any of the terms of any Loan Document or any departure by any Loan Party therefrom may (x) directly affect any Affiliate Lender or Debt Fund Affiliate in its capacity as a Term Lender in a manner that is disproportionate to the effect on any Term Lender of the same Class or (y) deprive such Affiliate Lender or Debt Fund Affiliate of its Applicable Percentage of any payments to which it is entitled, in each case subject to the prior consent of such Affiliate Lender and/or Debt Fund Affiliate,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Loan Buybacks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Notwithstanding anything to the contrary herein, any Lender may assign all or any portion of its Term Loans hereunder to the Company, any other Borrower or any of their Restricted Subsidiaries</w:t>
      </w:r>
      <w:r>
        <w:rPr>
          <w:rFonts w:ascii="Times New Roman" w:hAnsi="Times New Roman"/>
          <w:color w:val="0000FF"/>
          <w:sz w:val="20"/>
          <w:u w:val="single"/>
          <w:bdr w:val="double" w:sz="2" w:space="1" w:color="000000"/>
        </w:rPr>
        <w:t xml:space="preserve"> and, after the consummation of the Take-Private Transaction, HoldCo</w:t>
      </w:r>
      <w:r>
        <w:rPr>
          <w:rFonts w:ascii="Times New Roman" w:hAnsi="Times New Roman"/>
          <w:sz w:val="20"/>
        </w:rPr>
        <w:t xml:space="preserve">, but only if: </w:t>
      </w:r>
    </w:p>
    <w:p>
      <w:pPr>
        <w:pStyle w:val="TextBody"/>
        <w:bidi w:val="0"/>
        <w:spacing w:before="120" w:after="0"/>
        <w:jc w:val="left"/>
        <w:rPr>
          <w:rFonts w:ascii="Times New Roman" w:hAnsi="Times New Roman"/>
          <w:sz w:val="20"/>
        </w:rPr>
      </w:pPr>
      <w:r>
        <w:rPr>
          <w:rFonts w:ascii="Times New Roman" w:hAnsi="Times New Roman"/>
          <w:sz w:val="20"/>
        </w:rPr>
        <w:t>(A) (x) such assignment is made pursuant to a Dutch Auction open to all Lenders holding Term Loans of the specified Class on a pro rata basis or (y) such assignment is made as an open market purchase on a non-pro rata basis and the aggregate amount of all such open market purchases does not exceed $</w:t>
      </w:r>
      <w:r>
        <w:rPr>
          <w:rFonts w:ascii="Times New Roman" w:hAnsi="Times New Roman"/>
          <w:strike/>
          <w:color w:val="FF0000"/>
          <w:sz w:val="20"/>
        </w:rPr>
        <w:t>20,000,000</w:t>
      </w:r>
      <w:r>
        <w:rPr>
          <w:rFonts w:ascii="Times New Roman" w:hAnsi="Times New Roman"/>
          <w:color w:val="0000FF"/>
          <w:sz w:val="20"/>
          <w:u w:val="single"/>
          <w:bdr w:val="double" w:sz="2" w:space="1" w:color="000000"/>
        </w:rPr>
        <w:t>50,000,000</w:t>
      </w:r>
      <w:r>
        <w:rPr>
          <w:rFonts w:ascii="Times New Roman" w:hAnsi="Times New Roman"/>
          <w:color w:val="0000FF"/>
          <w:sz w:val="20"/>
        </w:rPr>
        <w:t xml:space="preserve"> </w:t>
      </w:r>
      <w:r>
        <w:rPr>
          <w:rFonts w:ascii="Times New Roman" w:hAnsi="Times New Roman"/>
          <w:sz w:val="20"/>
        </w:rPr>
        <w:t xml:space="preserve">, in each case, in accordance with customary procedures to be mutually agreed between the Borrowers and the Auction Agent; </w:t>
      </w:r>
    </w:p>
    <w:p>
      <w:pPr>
        <w:pStyle w:val="TextBody"/>
        <w:bidi w:val="0"/>
        <w:spacing w:before="120" w:after="0"/>
        <w:jc w:val="left"/>
        <w:rPr>
          <w:rFonts w:ascii="Times New Roman" w:hAnsi="Times New Roman"/>
          <w:sz w:val="20"/>
        </w:rPr>
      </w:pPr>
      <w:r>
        <w:rPr>
          <w:rFonts w:ascii="Times New Roman" w:hAnsi="Times New Roman"/>
          <w:sz w:val="20"/>
        </w:rPr>
        <w:t xml:space="preserve">(B) no Event of Default </w:t>
      </w:r>
      <w:r>
        <w:rPr>
          <w:rFonts w:ascii="Times New Roman" w:hAnsi="Times New Roman"/>
          <w:color w:val="0000FF"/>
          <w:sz w:val="20"/>
          <w:u w:val="single"/>
          <w:bdr w:val="double" w:sz="2" w:space="1" w:color="000000"/>
        </w:rPr>
        <w:t>under Section 7.01(a), (b), (h) or (i) </w:t>
      </w:r>
      <w:r>
        <w:rPr>
          <w:rFonts w:ascii="Times New Roman" w:hAnsi="Times New Roman"/>
          <w:sz w:val="20"/>
        </w:rPr>
        <w:t xml:space="preserve">has occurred and is continuing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(C) any such Term Loans shall be automatically and permanently cancelled immediately upon acquisition thereof by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any of their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the Borrowers and their Restricted Subsidiaries do not use the proceeds of any </w:t>
      </w:r>
      <w:r>
        <w:rPr>
          <w:rFonts w:ascii="Times New Roman" w:hAnsi="Times New Roman"/>
          <w:color w:val="0000FF"/>
          <w:sz w:val="20"/>
          <w:u w:val="single"/>
          <w:bdr w:val="double" w:sz="2" w:space="1" w:color="000000"/>
        </w:rPr>
        <w:t xml:space="preserve">Revolving </w:t>
      </w:r>
      <w:r>
        <w:rPr>
          <w:rFonts w:ascii="Times New Roman" w:hAnsi="Times New Roman"/>
          <w:sz w:val="20"/>
        </w:rPr>
        <w:t xml:space="preserve">Loans to acquire such Term Loans; </w:t>
      </w:r>
    </w:p>
    <w:p>
      <w:pPr>
        <w:pStyle w:val="TextBody"/>
        <w:bidi w:val="0"/>
        <w:spacing w:before="120" w:after="0"/>
        <w:jc w:val="left"/>
        <w:rPr>
          <w:rFonts w:ascii="Times New Roman" w:hAnsi="Times New Roman"/>
          <w:sz w:val="20"/>
        </w:rPr>
      </w:pPr>
      <w:r>
        <w:rPr>
          <w:rFonts w:ascii="Times New Roman" w:hAnsi="Times New Roman"/>
          <w:sz w:val="20"/>
        </w:rPr>
        <w:t xml:space="preserve">(E) the aggregate outstanding principal amount of the Term Loans of the applicable Class shall be deemed reduced by the full par value of the aggregate principal amount of the Term Loans purchased by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any or their Restricted Subsidiaries pursuant to Section 9.04(g) and each principal repayment installment with respect to the Term Loans of such Class pursuant to Section 2.10 shall be reduced pro rata by the par value of the aggregate principal amount of Term Loans so purchased;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applicable Borrower or Restricted Subsidiary, as the case may be, shall either (I) make a representation to the selling Lender that it does not possess material non-public information with respect to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their Restricted Subsidiaries or the securities of any of them that has not been disclosed to the Lenders generally (other than Lenders who elect not to receive such information) or (II) disclose that it cannot make such representation, in which case, the applicable assigning Lender shall be deemed to expressly re-make the acknowledgement set forth in clause (G) below; </w:t>
      </w:r>
    </w:p>
    <w:p>
      <w:pPr>
        <w:pStyle w:val="TextBody"/>
        <w:bidi w:val="0"/>
        <w:spacing w:before="120" w:after="0"/>
        <w:jc w:val="left"/>
        <w:rPr>
          <w:rFonts w:ascii="Times New Roman" w:hAnsi="Times New Roman"/>
          <w:sz w:val="20"/>
        </w:rPr>
      </w:pPr>
      <w:r>
        <w:rPr>
          <w:rFonts w:ascii="Times New Roman" w:hAnsi="Times New Roman"/>
          <w:sz w:val="20"/>
        </w:rPr>
        <w:t xml:space="preserve">(G) each Lender participating in any assignment to </w:t>
      </w:r>
      <w:r>
        <w:rPr>
          <w:rFonts w:ascii="Times New Roman" w:hAnsi="Times New Roman"/>
          <w:color w:val="0000FF"/>
          <w:sz w:val="20"/>
          <w:u w:val="single"/>
          <w:bdr w:val="double" w:sz="2" w:space="1" w:color="000000"/>
        </w:rPr>
        <w:t xml:space="preserve">HoldCo, </w:t>
      </w:r>
      <w:r>
        <w:rPr>
          <w:rFonts w:ascii="Times New Roman" w:hAnsi="Times New Roman"/>
          <w:sz w:val="20"/>
        </w:rPr>
        <w:t>the Company, applicable Borrower or Restricted Subsidiary, as the case may be, acknowledges and agrees that in connection with such assignment, (1)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applicable Borrower or Restricted Subsidiary, as applicable, then may have, and later may come into possession of material non-public information, (2) such Lender has independently and, without reliance on the Affiliate Lenders or any of their Subsidiaries,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or any of their Subsidiaries, the Administrative Agent or any other Agent Indemnitee, made its own analysis and determination to participate in such assignment notwithstanding such Lender’s lack of knowledge of the material non-public information, (3) none of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nor any of their Subsidiaries shall be required to make any representation that it is not in possession of material non-public information, (4) none of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any of their Subsidiaries, the Administrative Agent or any other Agent Indemnitee shall have any liability to such Lender, and such Lender hereby waives and releases, to the extent permitted by law, any claims such Lender may have against </w:t>
      </w:r>
      <w:r>
        <w:rPr>
          <w:rFonts w:ascii="Times New Roman" w:hAnsi="Times New Roman"/>
          <w:color w:val="0000FF"/>
          <w:sz w:val="20"/>
          <w:u w:val="single"/>
          <w:bdr w:val="double" w:sz="2" w:space="1" w:color="000000"/>
        </w:rPr>
        <w:t xml:space="preserve">HoldCo, </w:t>
      </w:r>
      <w:r>
        <w:rPr>
          <w:rFonts w:ascii="Times New Roman" w:hAnsi="Times New Roman"/>
          <w:sz w:val="20"/>
        </w:rPr>
        <w:t xml:space="preserve">the Company, any other Borrower and any of their Subsidiaries, the Administrative Agent and any other Agent Indemnitee, under applicable Laws or otherwise, with respect to the nondisclosure of the material non-public information and (5) that the material non-public information may not be available to the Administrative Agent or the other Lenders; and </w:t>
      </w:r>
    </w:p>
    <w:p>
      <w:pPr>
        <w:pStyle w:val="TextBody"/>
        <w:bidi w:val="0"/>
        <w:spacing w:before="120" w:after="0"/>
        <w:jc w:val="left"/>
        <w:rPr>
          <w:rFonts w:ascii="Times New Roman" w:hAnsi="Times New Roman"/>
          <w:sz w:val="20"/>
        </w:rPr>
      </w:pPr>
      <w:r>
        <w:rPr>
          <w:rFonts w:ascii="Times New Roman" w:hAnsi="Times New Roman"/>
          <w:sz w:val="20"/>
        </w:rPr>
        <w:t xml:space="preserve">(H) no purchase of Term Loans pursuant to this Section 9.04(g) shall constitute a voluntary prepayment or mandatory prepayment or payment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Survival</w:t>
      </w:r>
      <w:r>
        <w:rPr>
          <w:rFonts w:ascii="Times New Roman" w:hAnsi="Times New Roman"/>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Payment in Full of the Secured Obligations.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 </w:t>
      </w:r>
    </w:p>
    <w:p>
      <w:pPr>
        <w:pStyle w:val="TextBody"/>
        <w:bidi w:val="0"/>
        <w:spacing w:before="36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Counterparts; Integration; Effectiveness; Electronic Execution</w:t>
      </w:r>
      <w:r>
        <w:rPr>
          <w:rFonts w:ascii="Times New Roman" w:hAnsi="Times New Roman"/>
          <w:sz w:val="20"/>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sz w:val="20"/>
        </w:rPr>
        <w:t>(b)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hAnsi="Times New Roman"/>
          <w:sz w:val="20"/>
          <w:u w:val="single"/>
        </w:rPr>
        <w:t>Ancillary Document</w:t>
      </w:r>
      <w:r>
        <w:rPr>
          <w:rFonts w:ascii="Times New Roman" w:hAnsi="Times New Roman"/>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Borrowers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the Administrative Agent and any Lender and any Related Party thereof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Severability</w:t>
      </w:r>
      <w:r>
        <w:rPr>
          <w:rFonts w:ascii="Times New Roman" w:hAnsi="Times New Roman"/>
          <w:sz w:val="20"/>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sz w:val="20"/>
          <w:u w:val="single"/>
        </w:rPr>
        <w:t>Right of Setoff</w:t>
      </w:r>
      <w:r>
        <w:rPr>
          <w:rFonts w:ascii="Times New Roman" w:hAnsi="Times New Roman"/>
          <w:sz w:val="20"/>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provided that the failure to give or any delay in giving such notice shall not affect the validity of such setoff or application under this Section. The rights of each Lender, each Issuing Bank and their respective Affiliates under this Section are in addition to other rights and remedies (including other rights of setoff) that such Lender, such Issuing Bank or their respective Affiliates may have. </w:t>
      </w:r>
    </w:p>
    <w:p>
      <w:pPr>
        <w:pStyle w:val="TextBody"/>
        <w:bidi w:val="0"/>
        <w:spacing w:before="240" w:after="0"/>
        <w:jc w:val="left"/>
        <w:rPr>
          <w:rFonts w:ascii="Times New Roman" w:hAnsi="Times New Roman"/>
          <w:sz w:val="20"/>
        </w:rPr>
      </w:pPr>
      <w:r>
        <w:rPr>
          <w:rFonts w:ascii="Times New Roman" w:hAnsi="Times New Roman"/>
          <w:sz w:val="20"/>
        </w:rPr>
        <w:t xml:space="preserve">SECTION 9.09. </w:t>
      </w:r>
      <w:r>
        <w:rPr>
          <w:rFonts w:ascii="Times New Roman" w:hAnsi="Times New Roman"/>
          <w:sz w:val="20"/>
          <w:u w:val="single"/>
        </w:rPr>
        <w:t>Governing Law; Jurisdiction; Consent to Service of Process</w:t>
      </w:r>
      <w:r>
        <w:rPr>
          <w:rFonts w:ascii="Times New Roman" w:hAnsi="Times New Roman"/>
          <w:sz w:val="20"/>
        </w:rPr>
        <w:t xml:space="preserve"> . </w:t>
      </w:r>
    </w:p>
    <w:p>
      <w:pPr>
        <w:pStyle w:val="TextBody"/>
        <w:bidi w:val="0"/>
        <w:spacing w:before="120" w:after="0"/>
        <w:jc w:val="left"/>
        <w:rPr>
          <w:rFonts w:ascii="Times New Roman" w:hAnsi="Times New Roman"/>
          <w:sz w:val="20"/>
        </w:rPr>
      </w:pPr>
      <w:r>
        <w:rPr>
          <w:rFonts w:ascii="Times New Roman" w:hAnsi="Times New Roman"/>
          <w:sz w:val="20"/>
        </w:rPr>
        <w:t xml:space="preserve">(a) The Loan Documents (other than those containing a contrary express choice of law provision) shall be governed by and construed in accordance with the internal laws of the State of Illinois, but giving effect to federal laws applicable to national banks.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Illinois. </w:t>
      </w:r>
    </w:p>
    <w:p>
      <w:pPr>
        <w:pStyle w:val="TextBody"/>
        <w:bidi w:val="0"/>
        <w:spacing w:before="120" w:after="0"/>
        <w:jc w:val="left"/>
        <w:rPr>
          <w:rFonts w:ascii="Times New Roman" w:hAnsi="Times New Roman"/>
          <w:sz w:val="20"/>
        </w:rPr>
      </w:pPr>
      <w:r>
        <w:rPr>
          <w:rFonts w:ascii="Times New Roman" w:hAnsi="Times New Roman"/>
          <w:sz w:val="20"/>
        </w:rPr>
        <w:t xml:space="preserve">(c) Each of the parties hereto hereby irrevocably and unconditionally submits, for itself and its property, to the exclusive jurisdiction of any U.S. federal or Illinois state court sitting in Chicago, Illinois,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any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 </w:t>
      </w:r>
    </w:p>
    <w:p>
      <w:pPr>
        <w:pStyle w:val="TextBody"/>
        <w:bidi w:val="0"/>
        <w:spacing w:before="120" w:after="0"/>
        <w:jc w:val="left"/>
        <w:rPr>
          <w:rFonts w:ascii="Times New Roman" w:hAnsi="Times New Roman"/>
          <w:sz w:val="20"/>
        </w:rPr>
      </w:pPr>
      <w:r>
        <w:rPr>
          <w:rFonts w:ascii="Times New Roman" w:hAnsi="Times New Roman"/>
          <w:sz w:val="20"/>
        </w:rPr>
        <w:t xml:space="preserve">(d)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party to this Agreement irrevocably consents to service of process in the manner provided for notices in Section 9.01. Each Canadian Loan Party hereby irrevocably designates and appoints the Borrower Representative, as its authorized agent, to accept and acknowledge on its behalf, service of any and all process which may be served in any suit, action or proceeding of the nature referred to in Section 9.09(c) in any U.S. federal or Illinois state court sitting in Chicago, Illinois, and any appellate court from any thereof. The Borrower Representative hereby represents, warrants and confirms that the Borrower Representative has agreed to accept such appointment. Said designation and appointment shall be irrevocable by each Canadian Loan Party until Payment in Full of the Secured Obligations. Each Canadian Loan Party hereby consents to process being served in any suit, action or proceeding of the nature referred to in Section 9.09(c) in any U.S. federal or Illinois state court sitting in Chicago, Illinois, and any appellate court from any thereof by service of process upon the Borrower Representative as provided in this Section 9.09(e); </w:t>
      </w:r>
      <w:r>
        <w:rPr>
          <w:rFonts w:ascii="Times New Roman" w:hAnsi="Times New Roman"/>
          <w:sz w:val="20"/>
          <w:u w:val="single"/>
        </w:rPr>
        <w:t>provided</w:t>
      </w:r>
      <w:r>
        <w:rPr>
          <w:rFonts w:ascii="Times New Roman" w:hAnsi="Times New Roman"/>
          <w:sz w:val="20"/>
        </w:rPr>
        <w:t xml:space="preserve"> that, to the extent lawful and possible, notice of said service upon such agent shall be mailed by registered or certified air mail, postage prepaid, return receipt requested, to the Borrower Representative and (if applicable to) such Canadian Loan Party at its address set forth herein or to any other address of which such Canadian Loan Party shall have given written notice to the Administrative Agent (with a copy thereof to the Borrower Representative). Each Canadian Loan Party irrevocably waives, to the fullest extent permitted by law, all claim of error by reason of any such service in such manner and agrees that such service shall be deemed in every respect effective service of process upon such Canadian Loan Party in any such suit, action or proceeding and shall, to the fullest extent permitted by law, be taken and held to be valid and personal service upon and personal delivery to such Canadian Loan Party. To the extent any Canadian Loan Party has or hereafter may acquire any immunity from jurisdiction of any court or from any legal process (whether from service or notice, attachment prior to judgment, attachment in aid of execution of a judgment, execution or otherwise), such Canadian Loan Party hereby irrevocably waives such immunity in respect of its obligations under the Loan Documents. Nothing in this Agreement or any other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sz w:val="20"/>
          <w:u w:val="single"/>
        </w:rPr>
        <w:t>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sz w:val="20"/>
          <w:u w:val="single"/>
        </w:rPr>
        <w:t>Confidentiality</w:t>
      </w:r>
      <w:r>
        <w:rPr>
          <w:rFonts w:ascii="Times New Roman" w:hAnsi="Times New Roman"/>
          <w:sz w:val="20"/>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by any applicable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(y) any actual or prospective counterparty (or its advisors) to any swap or derivative transaction relating to the Loan Parties and their obligations or (z) to the extent required by a potential or actual insurer or reinsurer in connection with providing insurance, reinsurance or credit risk mitigation coverage under which payments are to be made or may be made by reference to this Agreement, (g) with the consent of the Borrower Representative, (h)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 or (i) to the extent such Information (x) becomes publicly available other than as a result of a breach of this Section or (y) becomes available to the Administrative Agent, the Issuing Bank or any Lender on a non-confidential basis from a source other than the Borrowers. For the purposes of this Section, “Information”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EACH LENDER ACKNOWLEDGES THAT INFORMATION AS DEFINED IN SECTION 9.12 FURNISHED TO IT PURSUANT TO THIS AGREEMENT MAY INCLUDE MATERIAL NON-PUBLIC INFORMATION CONCERNING THE BORROWERS,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For the avoidance of doubt, nothing herein shall prohibit any individual from communicating or disclosing information regarding suspected violations of laws, rules or regulations to a governmental, regulatory or self-regulatory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sz w:val="20"/>
          <w:u w:val="single"/>
        </w:rPr>
        <w:t>Several Obligations; Nonreliance; Violation of Law</w:t>
      </w:r>
      <w:r>
        <w:rPr>
          <w:rFonts w:ascii="Times New Roman" w:hAnsi="Times New Roman"/>
          <w:sz w:val="20"/>
        </w:rPr>
        <w:t xml:space="preserve">.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Borrowers in violation of any Requirement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sz w:val="20"/>
          <w:u w:val="single"/>
        </w:rPr>
        <w:t>USA PATRIOT Act</w:t>
      </w:r>
      <w:r>
        <w:rPr>
          <w:rFonts w:ascii="Times New Roman" w:hAnsi="Times New Roman"/>
          <w:sz w:val="20"/>
        </w:rPr>
        <w:t xml:space="preserve">.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sz w:val="20"/>
          <w:u w:val="single"/>
        </w:rPr>
        <w:t>Disclosure</w:t>
      </w:r>
      <w:r>
        <w:rPr>
          <w:rFonts w:ascii="Times New Roman" w:hAnsi="Times New Roman"/>
          <w:sz w:val="20"/>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sz w:val="20"/>
          <w:u w:val="single"/>
        </w:rPr>
        <w:t>Appointment for Perfection</w:t>
      </w:r>
      <w:r>
        <w:rPr>
          <w:rFonts w:ascii="Times New Roman" w:hAnsi="Times New Roman"/>
          <w:sz w:val="20"/>
        </w:rPr>
        <w:t xml:space="preserve">.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sz w:val="20"/>
          <w:u w:val="single"/>
        </w:rPr>
        <w:t>Interest Rate Limitation</w:t>
      </w:r>
      <w:r>
        <w:rPr>
          <w:rFonts w:ascii="Times New Roman" w:hAnsi="Times New Roman"/>
          <w:sz w:val="20"/>
        </w:rPr>
        <w:t xml:space="preserve">.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Overnight Rate to the date of repayment, shall have been received by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9.18. </w:t>
      </w:r>
      <w:r>
        <w:rPr>
          <w:rFonts w:ascii="Times New Roman" w:hAnsi="Times New Roman"/>
          <w:sz w:val="20"/>
          <w:u w:val="single"/>
        </w:rPr>
        <w:t>No Fiduciary Duty, etc</w:t>
      </w:r>
      <w:r>
        <w:rPr>
          <w:rFonts w:ascii="Times New Roman" w:hAnsi="Times New Roman"/>
          <w:sz w:val="20"/>
        </w:rPr>
        <w:t xml:space="preserve">.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The Borrowers shall consult with their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(b) Each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9.19. </w:t>
      </w:r>
      <w:r>
        <w:rPr>
          <w:rFonts w:ascii="Times New Roman" w:hAnsi="Times New Roman"/>
          <w:sz w:val="20"/>
          <w:u w:val="single"/>
        </w:rPr>
        <w:t>Marketing Consent</w:t>
      </w:r>
      <w:r>
        <w:rPr>
          <w:rFonts w:ascii="Times New Roman" w:hAnsi="Times New Roman"/>
          <w:sz w:val="20"/>
        </w:rPr>
        <w:t xml:space="preserve">. The Borrowers hereby authorize JPMorgan and its affiliates, at their respective sole expense, to the extent approved by the Borrower Representative (such approval not to be unreasonably withheld, conditioned or delayed), to include the Borrowers’ name and logo in advertising slicks posted on its internet site, in pitchbooks or sent in mailings to prospective customers and to give such other publicity to this Agreement as each may from time to time determine in its sole discretion. The foregoing authorization shall remain in effect unless the Borrower Representative notifies JPMorgan in writing that such authorization is revoked. </w:t>
      </w:r>
    </w:p>
    <w:p>
      <w:pPr>
        <w:pStyle w:val="TextBody"/>
        <w:bidi w:val="0"/>
        <w:spacing w:before="240" w:after="0"/>
        <w:jc w:val="left"/>
        <w:rPr>
          <w:rFonts w:ascii="Times New Roman" w:hAnsi="Times New Roman"/>
          <w:sz w:val="20"/>
        </w:rPr>
      </w:pPr>
      <w:r>
        <w:rPr>
          <w:rFonts w:ascii="Times New Roman" w:hAnsi="Times New Roman"/>
          <w:sz w:val="20"/>
        </w:rPr>
        <w:t xml:space="preserve">SECTION 9.20.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rPr>
        <w:t xml:space="preserve">SECTION 9.21. </w:t>
      </w:r>
      <w:r>
        <w:rPr>
          <w:rFonts w:ascii="Times New Roman" w:hAnsi="Times New Roman"/>
          <w:sz w:val="20"/>
          <w:u w:val="single"/>
        </w:rPr>
        <w:t>Acknowledgement Regarding Any Supported QFCs</w:t>
      </w:r>
      <w:r>
        <w:rPr>
          <w:rFonts w:ascii="Times New Roman" w:hAnsi="Times New Roman"/>
          <w:sz w:val="20"/>
        </w:rPr>
        <w:t xml:space="preserve">.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9.21, the following terms have the meanings set forth below: </w:t>
      </w:r>
    </w:p>
    <w:p>
      <w:pPr>
        <w:pStyle w:val="TextBody"/>
        <w:bidi w:val="0"/>
        <w:spacing w:before="12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47.3(b);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240" w:after="0"/>
        <w:jc w:val="left"/>
        <w:rPr>
          <w:rFonts w:ascii="Times New Roman" w:hAnsi="Times New Roman"/>
          <w:sz w:val="20"/>
        </w:rPr>
      </w:pPr>
      <w:r>
        <w:rPr>
          <w:rFonts w:ascii="Times New Roman" w:hAnsi="Times New Roman"/>
          <w:sz w:val="20"/>
        </w:rPr>
        <w:t xml:space="preserve">SECTION 9.22. </w:t>
      </w:r>
      <w:r>
        <w:rPr>
          <w:rFonts w:ascii="Times New Roman" w:hAnsi="Times New Roman"/>
          <w:sz w:val="20"/>
          <w:u w:val="single"/>
        </w:rPr>
        <w:t>Canadian Anti-Money Laundering Legislation</w:t>
      </w:r>
      <w:r>
        <w:rPr>
          <w:rFonts w:ascii="Times New Roman" w:hAnsi="Times New Roman"/>
          <w:sz w:val="20"/>
        </w:rPr>
        <w:t xml:space="preserve">. Each Loan Party acknowledges that, pursuant to CAML, the Lenders and Administrative Agent may be required to obtain, verify and record information regarding the Loan Parties, their respective directors, authorized signing officers, direct or indirect shareholders or other Persons in control of such Loan Parties, and the transactions contemplated hereby. Each Loan Party shall promptly provide all such information, including supporting documentation and other evidence, as may be reasonably requested by any Lender or the Administrative Agent, or any prospective assignee or participant of a Lender or the Administrative Agent, in order to comply with any applicable CAML, whether now or hereafter in existence. Each of the Lenders agrees that the Administrative Agent has no obligation to ascertain the identity of the Loan Parties or any authorized signatories of the Loan Parties on behalf of any Lender, or to confirm the completeness or accuracy of any information it obtains from the Loan Parties or any such authorized signatory in doing so. </w:t>
      </w:r>
    </w:p>
    <w:p>
      <w:pPr>
        <w:pStyle w:val="TextBody"/>
        <w:bidi w:val="0"/>
        <w:spacing w:before="240" w:after="0"/>
        <w:jc w:val="left"/>
        <w:rPr>
          <w:rFonts w:ascii="Times New Roman" w:hAnsi="Times New Roman"/>
          <w:sz w:val="20"/>
        </w:rPr>
      </w:pPr>
      <w:r>
        <w:rPr>
          <w:rFonts w:ascii="Times New Roman" w:hAnsi="Times New Roman"/>
          <w:sz w:val="20"/>
        </w:rPr>
        <w:t xml:space="preserve">SECTION 9.23. </w:t>
      </w:r>
      <w:r>
        <w:rPr>
          <w:rFonts w:ascii="Times New Roman" w:hAnsi="Times New Roman"/>
          <w:sz w:val="20"/>
          <w:u w:val="single"/>
        </w:rPr>
        <w:t>Judgment Currency</w:t>
      </w:r>
      <w:r>
        <w:rPr>
          <w:rFonts w:ascii="Times New Roman" w:hAnsi="Times New Roman"/>
          <w:sz w:val="20"/>
        </w:rPr>
        <w:t xml:space="preserve">. If, for the purposes of obtaining judgment in any court, it is necessary to convert a sum due hereunder in dollars into another currency (the “Other Currency”), to the fullest extent permitted by applicable law, the rate of exchange used shall be that at which the Administrative Agent could, in accordance with normal procedures, purchase dollars with the Other Currency on the Business Day preceding that on which final judgment is given. The obligation of each Loan Party in respect of any such sum due from it to the Secured Parties hereunder shall, notwithstanding any judgment in such Other Currency, be discharged only to the extent that, on the Business Day immediately following the date on which the Administrative Agent receives any sum adjudged to be so due in the Other Currency, the Administrative Agent may, in accordance with normal banking procedures, purchase dollars with the Other Currency. If the dollars so purchased are less than the sum originally due to the Secured Parties in dollars, each Loan Party agrees, as a separate obligation and notwithstanding any such judgment, to indemnify the Secured Parties against such loss, and if the dollars so purchased exceed the sum originally due to the Secured Parties in dollars, the Secured Parties agrees to remit to the Loan Parties such excess. </w:t>
      </w:r>
    </w:p>
    <w:p>
      <w:pPr>
        <w:pStyle w:val="TextBody"/>
        <w:bidi w:val="0"/>
        <w:spacing w:before="24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u w:val="single"/>
        </w:rPr>
        <w:t>Loan Guaranty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Guaranty</w:t>
      </w:r>
      <w:r>
        <w:rPr>
          <w:rFonts w:ascii="Times New Roman" w:hAnsi="Times New Roman"/>
          <w:sz w:val="20"/>
        </w:rPr>
        <w:t>. (a) Each U.S.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to the extent required by Section 9.03,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 w:hAnsi="Times New Roman"/>
          <w:sz w:val="20"/>
          <w:u w:val="single"/>
        </w:rPr>
        <w:t>U.S. Guaranteed Obligations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definition of “U</w:t>
      </w:r>
      <w:r>
        <w:rPr>
          <w:rFonts w:ascii="Times New Roman" w:hAnsi="Times New Roman"/>
          <w:sz w:val="20"/>
          <w:u w:val="single"/>
        </w:rPr>
        <w:t>.S. Guaranteed Obligations</w:t>
      </w:r>
      <w:r>
        <w:rPr>
          <w:rFonts w:ascii="Times New Roman" w:hAnsi="Times New Roman"/>
          <w:sz w:val="20"/>
        </w:rPr>
        <w:t xml:space="preserve">” shall not create any guarantee by any U.S. Loan Guarantor of (or grant of security interest by any U.S. Loan Guarantor to support, as applicable) any Excluded Swap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of such U.S. Loan Guarantor for purposes of determining any obligations of any U.S. Loan Guarantor). Each U.S. Loan Guarantor further agrees that the U.S.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U.S. Guaranteed Obligations. </w:t>
      </w:r>
    </w:p>
    <w:p>
      <w:pPr>
        <w:pStyle w:val="TextBody"/>
        <w:bidi w:val="0"/>
        <w:spacing w:before="120" w:after="0"/>
        <w:jc w:val="left"/>
        <w:rPr>
          <w:rFonts w:ascii="Times New Roman" w:hAnsi="Times New Roman"/>
          <w:sz w:val="20"/>
        </w:rPr>
      </w:pPr>
      <w:r>
        <w:rPr>
          <w:rFonts w:ascii="Times New Roman" w:hAnsi="Times New Roman"/>
          <w:sz w:val="20"/>
        </w:rPr>
        <w:t>(b) Each Canadian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Canadian Secured Obligations and all costs and expenses to the extent required by Section 9.03 paid or incurred by the Administrative Agent, the Issuing Bank and the Lenders in endeavoring to collect all or any part of the Canadian Secured Obligations from, or in prosecuting any action against, any Canadian Borrower, any Canadian Loan Guarantor or any other guarantor of all or any part of the Canadian Secured Obligations (such costs and expenses, together with the Canadian Secured Obligations, collectively the “</w:t>
      </w:r>
      <w:r>
        <w:rPr>
          <w:rFonts w:ascii="Times New Roman" w:hAnsi="Times New Roman"/>
          <w:sz w:val="20"/>
          <w:u w:val="single"/>
        </w:rPr>
        <w:t>Canadian Guaranteed Obligations</w:t>
      </w:r>
      <w:r>
        <w:rPr>
          <w:rFonts w:ascii="Times New Roman" w:hAnsi="Times New Roman"/>
          <w:sz w:val="20"/>
        </w:rPr>
        <w:t xml:space="preserve">”); </w:t>
      </w:r>
      <w:r>
        <w:rPr>
          <w:rFonts w:ascii="Times New Roman" w:hAnsi="Times New Roman"/>
          <w:sz w:val="20"/>
          <w:u w:val="single"/>
        </w:rPr>
        <w:t>provided, however</w:t>
      </w:r>
      <w:r>
        <w:rPr>
          <w:rFonts w:ascii="Times New Roman" w:hAnsi="Times New Roman"/>
          <w:sz w:val="20"/>
        </w:rPr>
        <w:t xml:space="preserve">, that the definition of “Canadian Guaranteed Obligations” shall not create any guarantee by any Canadian Loan Guarantor of (or grant of security interest by any Canadian Loan Guarantor to support, as applicable) any Excluded Swap Obligations of such Canadian Loan Guarantor for purposes of determining any obligations of any Canadian Loan Guarantor). Each Canadian Loan Guarantor further agrees that the Canadian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Canadian Guaranteed Obligations. Notwithstanding anything contained in this Agreement to the contrary (including, without limitation, this Section 10.01), no Canadian Loan Party shall guarantee any U.S.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Guaranty of Payment</w:t>
      </w:r>
      <w:r>
        <w:rPr>
          <w:rFonts w:ascii="Times New Roman" w:hAnsi="Times New Roman"/>
          <w:sz w:val="20"/>
        </w:rPr>
        <w:t xml:space="preserve">. This Loan Guaranty is a guaranty of payment and not of collection. Each Loan Guarantor waives (to the extent permitted by applicable law) any right to require the Administrative Agent, the Issuing Bank or any Lender to sue any Borrower or any Loan Guarantor, or any other guarantor of, or any other Person obligated for, all or any part of the Guaranteed Obligations (each, an “Obligated Party”), or otherwise to enforce its payment against any collateral securing all or any part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No Discharge or Diminishment of Loan Guaranty</w:t>
      </w:r>
      <w:r>
        <w:rPr>
          <w:rFonts w:ascii="Times New Roman" w:hAnsi="Times New Roman"/>
          <w:sz w:val="20"/>
        </w:rPr>
        <w:t xml:space="preserve">. (a) Except as otherwise provided for herein, the obligations of each Loan Guarantor hereunder are unconditional and absolute and, to the extent permitted by applicable law,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to the extent permitted by applicable law,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the extent permitted by applicable law, to any extent vary the risk of such Loan Guarantor or that would otherwise operate as a discharge of any Loan Guarantor as a matter of law or equity (other than the Payment in Full of the Guaranteed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Defenses Waived</w:t>
      </w:r>
      <w:r>
        <w:rPr>
          <w:rFonts w:ascii="Times New Roman" w:hAnsi="Times New Roman"/>
          <w:sz w:val="20"/>
        </w:rPr>
        <w:t xml:space="preserve">.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Payment in Full of the Guaranteed Obligations. Without limiting the generality of the foregoing, to the extent permitted by applicable law,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Rights of Subrogation</w:t>
      </w:r>
      <w:r>
        <w:rPr>
          <w:rFonts w:ascii="Times New Roman" w:hAnsi="Times New Roman"/>
          <w:sz w:val="20"/>
        </w:rPr>
        <w:t xml:space="preserve">.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Reinstatement; Stay of Acceleration</w:t>
      </w:r>
      <w:r>
        <w:rPr>
          <w:rFonts w:ascii="Times New Roman" w:hAnsi="Times New Roman"/>
          <w:sz w:val="20"/>
        </w:rPr>
        <w:t xml:space="preserve">.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Information</w:t>
      </w:r>
      <w:r>
        <w:rPr>
          <w:rFonts w:ascii="Times New Roman" w:hAnsi="Times New Roman"/>
          <w:sz w:val="20"/>
        </w:rPr>
        <w:t xml:space="preserve">.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Release of Loan Guarantors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Any Loan Guarantor (other than any Borrower) shall automatically be released from its obligations under the Loan Guaranty upon the consummation of any transaction permitted by this Agreement as a result of which such Loan Guarantor ceases to be a Restricted Subsidiary in accordance with the terms hereof; </w:t>
      </w:r>
      <w:r>
        <w:rPr>
          <w:rFonts w:ascii="Times New Roman" w:hAnsi="Times New Roman"/>
          <w:sz w:val="20"/>
          <w:u w:val="single"/>
        </w:rPr>
        <w:t>provided</w:t>
      </w:r>
      <w:r>
        <w:rPr>
          <w:rFonts w:ascii="Times New Roman" w:hAnsi="Times New Roman"/>
          <w:sz w:val="20"/>
        </w:rPr>
        <w:t xml:space="preserve"> that such transaction pursuant to which any Person ceases to be a Restricted Subsidiary was not entered into for purposes of causing such Person not to be a Loan Guarantor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Further, the Administrative Agent may (and is hereby irrevocably authorized by each Lender to), upon the request of the Company, release any Loan Guarantor (other than any Borrower) from its obligations under the Loan Guaranty if such Loan Guarantor is no longer a Material Subsidiary; </w:t>
      </w:r>
      <w:r>
        <w:rPr>
          <w:rFonts w:ascii="Times New Roman" w:hAnsi="Times New Roman"/>
          <w:sz w:val="20"/>
          <w:u w:val="single"/>
        </w:rPr>
        <w:t>provided</w:t>
      </w:r>
      <w:r>
        <w:rPr>
          <w:rFonts w:ascii="Times New Roman" w:hAnsi="Times New Roman"/>
          <w:sz w:val="20"/>
        </w:rPr>
        <w:t xml:space="preserve"> that no such release shall occur if such Loan Guarantor no longer constitutes a Material Subsidiary and a Loan Guarantor as a result of a transaction that was entered into for purposes of causing such Person not to be a Material Subsidiary and a Loan Guarantor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so required by this Agreement, the Required Lenders shall have consented to such transaction and the terms of such consent shall not have provided otherwise. </w:t>
      </w:r>
    </w:p>
    <w:p>
      <w:pPr>
        <w:pStyle w:val="TextBody"/>
        <w:bidi w:val="0"/>
        <w:spacing w:before="120" w:after="0"/>
        <w:jc w:val="left"/>
        <w:rPr>
          <w:rFonts w:ascii="Times New Roman" w:hAnsi="Times New Roman"/>
          <w:sz w:val="20"/>
        </w:rPr>
      </w:pPr>
      <w:r>
        <w:rPr>
          <w:rFonts w:ascii="Times New Roman" w:hAnsi="Times New Roman"/>
          <w:sz w:val="20"/>
        </w:rPr>
        <w:t xml:space="preserve">(c) Upon Payment in Full of all Secured Obligations, the Loan Guaranty and all obligations (other than those expressly stated to survive such termination) of each Loan Guarantor thereunder shall automatically terminate, all without delivery of any instrument or performance of any act by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Taxes</w:t>
      </w:r>
      <w:r>
        <w:rPr>
          <w:rFonts w:ascii="Times New Roman" w:hAnsi="Times New Roman"/>
          <w:sz w:val="20"/>
        </w:rPr>
        <w:t xml:space="preserve">.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Maximum Liability</w:t>
      </w:r>
      <w:r>
        <w:rPr>
          <w:rFonts w:ascii="Times New Roman" w:hAnsi="Times New Roman"/>
          <w:sz w:val="20"/>
        </w:rPr>
        <w:t xml:space="preserve">.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that any Loan Guarantor shall make a payment under this Loan Guaranty (a “</w:t>
      </w:r>
      <w:r>
        <w:rPr>
          <w:rFonts w:ascii="Times New Roman" w:hAnsi="Times New Roman"/>
          <w:sz w:val="20"/>
          <w:u w:val="single"/>
        </w:rPr>
        <w:t>Guarantor Payment</w:t>
      </w:r>
      <w:r>
        <w:rPr>
          <w:rFonts w:ascii="Times New Roman" w:hAnsi="Times New Roman"/>
          <w:sz w:val="20"/>
        </w:rPr>
        <w:t xml:space="preserve">”)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 </w:t>
      </w:r>
    </w:p>
    <w:p>
      <w:pPr>
        <w:pStyle w:val="TextBody"/>
        <w:bidi w:val="0"/>
        <w:spacing w:before="120" w:after="0"/>
        <w:jc w:val="left"/>
        <w:rPr>
          <w:rFonts w:ascii="Times New Roman" w:hAnsi="Times New Roman"/>
          <w:sz w:val="20"/>
        </w:rPr>
      </w:pPr>
      <w:r>
        <w:rPr>
          <w:rFonts w:ascii="Times New Roman" w:hAnsi="Times New Roman"/>
          <w:sz w:val="20"/>
        </w:rPr>
        <w:t xml:space="preserve">(b)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 </w:t>
      </w:r>
    </w:p>
    <w:p>
      <w:pPr>
        <w:pStyle w:val="TextBody"/>
        <w:bidi w:val="0"/>
        <w:spacing w:before="120" w:after="0"/>
        <w:jc w:val="left"/>
        <w:rPr>
          <w:rFonts w:ascii="Times New Roman" w:hAnsi="Times New Roman"/>
          <w:sz w:val="20"/>
        </w:rPr>
      </w:pPr>
      <w:r>
        <w:rPr>
          <w:rFonts w:ascii="Times New Roman" w:hAnsi="Times New Roman"/>
          <w:sz w:val="20"/>
        </w:rPr>
        <w:t xml:space="preserve">(c) This Section 10.11 is intended only to define the relative rights of the Loan Guarantors, and nothing set forth in this Section 10.11 is intended to or shall impair the obligations of the Loan Guarantors, jointly and severally (but subject to any limitations set out herein with respect to the guaranty of the U.S. Secured Obligations and Canadian Secured Obligations, respectively), to pay any amounts as and when the same shall become due and payable in accordance with the terms of this Loan Guaranty. </w:t>
      </w:r>
    </w:p>
    <w:p>
      <w:pPr>
        <w:pStyle w:val="TextBody"/>
        <w:bidi w:val="0"/>
        <w:spacing w:before="120" w:after="0"/>
        <w:jc w:val="left"/>
        <w:rPr>
          <w:rFonts w:ascii="Times New Roman" w:hAnsi="Times New Roman"/>
          <w:sz w:val="20"/>
        </w:rPr>
      </w:pPr>
      <w:r>
        <w:rPr>
          <w:rFonts w:ascii="Times New Roman" w:hAnsi="Times New Roman"/>
          <w:sz w:val="20"/>
        </w:rPr>
        <w:t xml:space="preserve">(d) The parties hereto acknowledge that the rights of contribution and indemnification hereunder shall constitute assets of the Loan Guarantor or Loan Guarantors to which such contribution and indemnification is owing. </w:t>
      </w:r>
    </w:p>
    <w:p>
      <w:pPr>
        <w:pStyle w:val="TextBody"/>
        <w:bidi w:val="0"/>
        <w:spacing w:before="120" w:after="0"/>
        <w:jc w:val="left"/>
        <w:rPr>
          <w:rFonts w:ascii="Times New Roman" w:hAnsi="Times New Roman"/>
          <w:sz w:val="20"/>
        </w:rPr>
      </w:pPr>
      <w:r>
        <w:rPr>
          <w:rFonts w:ascii="Times New Roman" w:hAnsi="Times New Roman"/>
          <w:sz w:val="20"/>
        </w:rPr>
        <w:t xml:space="preserve">(e) The rights of the indemnifying Loan Guarantors against other Loan Guarantors under this Section 10.11 shall be exercisable upon the Payment in Full of the Guaranteed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Liability Cumulative</w:t>
      </w:r>
      <w:r>
        <w:rPr>
          <w:rFonts w:ascii="Times New Roman" w:hAnsi="Times New Roman"/>
          <w:sz w:val="20"/>
        </w:rPr>
        <w:t xml:space="preserve">.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Keepwell</w:t>
      </w:r>
      <w:r>
        <w:rPr>
          <w:rFonts w:ascii="Times New Roman" w:hAnsi="Times New Roman"/>
          <w:sz w:val="20"/>
        </w:rPr>
        <w:t xml:space="preserve">. Each Qualified ECP Guarantor hereby jointly and severally absolutely, unconditionally and irrevocably undertakes to provide such funds or other support as may be needed from time to time by each other Guarantor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Appointment; Nature of Relationship</w:t>
      </w:r>
      <w:r>
        <w:rPr>
          <w:rFonts w:ascii="Times New Roman" w:hAnsi="Times New Roman"/>
          <w:sz w:val="20"/>
        </w:rPr>
        <w:t>. The Company is hereby appointed by each of the Borrowers as its contractual representative (herein referred to as the “</w:t>
      </w:r>
      <w:r>
        <w:rPr>
          <w:rFonts w:ascii="Times New Roman" w:hAnsi="Times New Roman"/>
          <w:sz w:val="20"/>
          <w:u w:val="single"/>
        </w:rPr>
        <w:t>Borrower Representative</w:t>
      </w:r>
      <w:r>
        <w:rPr>
          <w:rFonts w:ascii="Times New Roman" w:hAnsi="Times New Roman"/>
          <w:sz w:val="20"/>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provided that, in the case of a Revolving Loan, such amount shall not exceed the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Powers</w:t>
      </w:r>
      <w:r>
        <w:rPr>
          <w:rFonts w:ascii="Times New Roman" w:hAnsi="Times New Roman"/>
          <w:sz w:val="20"/>
        </w:rPr>
        <w:t xml:space="preserve">.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Employment of Agents</w:t>
      </w:r>
      <w:r>
        <w:rPr>
          <w:rFonts w:ascii="Times New Roman" w:hAnsi="Times New Roman"/>
          <w:sz w:val="20"/>
        </w:rPr>
        <w:t xml:space="preserve">. The Borrower Representative may execute any of its duties as the Borrower Representative hereunder and under any other Loan Document by or through authorized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Notices</w:t>
      </w:r>
      <w:r>
        <w:rPr>
          <w:rFonts w:ascii="Times New Roman" w:hAnsi="Times New Roman"/>
          <w:sz w:val="20"/>
        </w:rPr>
        <w:t xml:space="preserve">. Each Borrower shall immediately notify the Borrower Representative of the occurrence of any Default or Event of Default hereunder, refer to this Agreement, describe such Default or Event of Default, and state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Successor Borrower Representative</w:t>
      </w:r>
      <w:r>
        <w:rPr>
          <w:rFonts w:ascii="Times New Roman" w:hAnsi="Times New Roman"/>
          <w:sz w:val="20"/>
        </w:rPr>
        <w:t xml:space="preser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Execution of Loan Documents</w:t>
      </w:r>
      <w:r>
        <w:rPr>
          <w:rFonts w:ascii="Times New Roman" w:hAnsi="Times New Roman"/>
          <w:sz w:val="20"/>
        </w:rPr>
        <w:t xml:space="preserve">.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Nature and Extent of Each Borrower’s Liability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Joint and Several Liability</w:t>
      </w:r>
      <w:r>
        <w:rPr>
          <w:rFonts w:ascii="Times New Roman" w:hAnsi="Times New Roman"/>
          <w:sz w:val="20"/>
        </w:rPr>
        <w:t xml:space="preserve">. Each U.S. Borrower agrees that it is jointly and severally liable for all Secured Obligations and all agreements of the Borrowers hereunder and under the Loan Documents. As such, each U.S. Borrower agrees that it is a guarantor of each other Borrower’s obligations and liabilities hereunder and under the other Loan Documents. Each Canadian Borrower agrees that it is jointly and severally liable only for all Canadian Secured Obligations and all agreements of the Canadian Borrowers under the Loan Documents and not, for the avoidance of doubt, for any U.S. Secured Obligations. As such, each Canadian Borrower agrees that it is a guarantor of each other Canadian Borrower’s obligations and liabilities hereunder and under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Direct Liability</w:t>
      </w:r>
      <w:r>
        <w:rPr>
          <w:rFonts w:ascii="Times New Roman" w:hAnsi="Times New Roman"/>
          <w:sz w:val="20"/>
        </w:rPr>
        <w:t xml:space="preserve">. Nothing contained in this Section 11.07 shall limit the liability of any Borrower with respect to Loans made directly or indirectly to that Borrower (including Loans advanced to any other Borrower and then re-loaned or otherwise transferred to, or for the benefit of, such Borrower), LC Exposure relating to Letters of Credit issued to support such Borrower’s business, and all accrued interest, fees, expenses and other related Obligations with respect thereto, for which such Borrower shall be primarily liable for all purposes hereunder. </w:t>
      </w:r>
    </w:p>
    <w:p>
      <w:pPr>
        <w:pStyle w:val="TextBody"/>
        <w:bidi w:val="0"/>
        <w:spacing w:before="480" w:after="0"/>
        <w:jc w:val="center"/>
        <w:rPr>
          <w:rFonts w:ascii="Times New Roman" w:hAnsi="Times New Roman"/>
          <w:sz w:val="20"/>
        </w:rPr>
      </w:pPr>
      <w:r>
        <w:rPr>
          <w:rFonts w:ascii="Times New Roman" w:hAnsi="Times New Roman"/>
          <w:sz w:val="20"/>
        </w:rPr>
        <w:t xml:space="preserve">ARTICLE XII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Collateral Allocation Mechanism. </w:t>
      </w:r>
    </w:p>
    <w:p>
      <w:pPr>
        <w:pStyle w:val="TextBody"/>
        <w:bidi w:val="0"/>
        <w:spacing w:before="240" w:after="0"/>
        <w:jc w:val="left"/>
        <w:rPr>
          <w:rFonts w:ascii="Times New Roman" w:hAnsi="Times New Roman"/>
          <w:sz w:val="20"/>
        </w:rPr>
      </w:pPr>
      <w:r>
        <w:rPr>
          <w:rFonts w:ascii="Times New Roman" w:hAnsi="Times New Roman"/>
          <w:sz w:val="20"/>
        </w:rPr>
        <w:t xml:space="preserve">(a) On the CAM Exchange Date, (i) the Revolving Commitments shall automatically and without further act be terminated as provided in Article VII, (ii) the principal amount of each Revolving Loan denominated in an Alternative Currency shall automatically and without any further action required, be converted into Dollars determined using the Exchange Rates calculated as of the CAM Exchange Date, equal to the Dollar Equivalent of such amount and on and after such date all amounts accruing and owed to any Revolving Lender in respect of such Obligations shall accrue and be payable in Dollars at the rates otherwise applicable hereunder and (iii) the Revolving Lenders shall automatically and without further act be deemed to have made reciprocal purchases of interests in the Designated Obligations such that, in lieu of the interests of each Revolving Lender in the particular Designated Obligations that it shall own as of such date and immediately prior to the CAM Exchange, such Lender shall own an interest equal to such Lender’s CAM Percentage in each Designated Obligation. Each Revolving Lender, each Person acquiring a participation from any Revolving Lender as contemplated by Section 9.04, and each Borrower hereby consents and agrees to the CAM Exchange. Each of the Borrowers and the Revolving Lenders agrees from time to time to execute and deliver to the Administrative Agent all such promissory notes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instruments and documents as the Administrative Agent shall reasonably request to evidence and confirm the respective interests and obligations of the Revolving Lenders after giving effect to the CAM Exchange, and each Revolving Lender agrees to surrender any promissory notes originally received by it hereunder to the Administrative Agent against delivery of any promissory notes so executed and delivered; </w:t>
      </w:r>
      <w:r>
        <w:rPr>
          <w:rFonts w:ascii="Times New Roman" w:hAnsi="Times New Roman"/>
          <w:sz w:val="20"/>
          <w:u w:val="single"/>
        </w:rPr>
        <w:t>provided</w:t>
      </w:r>
      <w:r>
        <w:rPr>
          <w:rFonts w:ascii="Times New Roman" w:hAnsi="Times New Roman"/>
          <w:sz w:val="20"/>
        </w:rPr>
        <w:t xml:space="preserve"> that the failure of any Borrower to execute or deliver or of any Revolving Lender to accept any such promissory note, instrument or document shall not affect the validity or effectiveness of the CAM Exchange. </w:t>
      </w:r>
    </w:p>
    <w:p>
      <w:pPr>
        <w:pStyle w:val="TextBody"/>
        <w:bidi w:val="0"/>
        <w:spacing w:before="120" w:after="0"/>
        <w:jc w:val="left"/>
        <w:rPr>
          <w:rFonts w:ascii="Times New Roman" w:hAnsi="Times New Roman"/>
          <w:sz w:val="20"/>
        </w:rPr>
      </w:pPr>
      <w:r>
        <w:rPr>
          <w:rFonts w:ascii="Times New Roman" w:hAnsi="Times New Roman"/>
          <w:sz w:val="20"/>
        </w:rPr>
        <w:t xml:space="preserve">(b) As a result of the CAM Exchange, on and after the CAM Exchange Date, each payment received by the Administrative Agent pursuant to any Loan Document in respect of the Designated Obligations shall be distributed to the Revolving Lenders pro rata in accordance with their respective CAM Percentages. </w:t>
      </w:r>
    </w:p>
    <w:p>
      <w:pPr>
        <w:pStyle w:val="TextBody"/>
        <w:bidi w:val="0"/>
        <w:spacing w:before="120" w:after="0"/>
        <w:jc w:val="left"/>
        <w:rPr>
          <w:rFonts w:ascii="Times New Roman" w:hAnsi="Times New Roman"/>
          <w:sz w:val="20"/>
        </w:rPr>
      </w:pPr>
      <w:r>
        <w:rPr>
          <w:rFonts w:ascii="Times New Roman" w:hAnsi="Times New Roman"/>
          <w:sz w:val="20"/>
        </w:rPr>
        <w:t xml:space="preserve">(c) Nothing in this Article shall prohibit the assignment by any Revolving Lender of interests in some but not all of the Designated Obligations held by it after giving effect to the CAM Exchange; provided, that in connection with any such assignment such Lender and its assignee shall enter into an agreement setting forth their reciprocal rights and obligations in the event of a redetermination of the CAM Percentages as provided in the immediately preceding paragraph.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COMMITMENT SCHEDULE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6"/>
        <w:gridCol w:w="202"/>
        <w:gridCol w:w="140"/>
        <w:gridCol w:w="1423"/>
        <w:gridCol w:w="60"/>
        <w:gridCol w:w="202"/>
        <w:gridCol w:w="168"/>
        <w:gridCol w:w="1717"/>
        <w:gridCol w:w="60"/>
        <w:gridCol w:w="202"/>
        <w:gridCol w:w="166"/>
        <w:gridCol w:w="1352"/>
        <w:gridCol w:w="64"/>
      </w:tblGrid>
      <w:tr>
        <w:trPr/>
        <w:tc>
          <w:tcPr>
            <w:tcW w:w="2816"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202"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pPr>
            <w:r>
              <w:rPr>
                <w:b/>
              </w:rPr>
              <w:t>Revolving</w:t>
            </w:r>
            <w:r>
              <w:rPr/>
              <w:br/>
            </w:r>
            <w:r>
              <w:rPr>
                <w:b/>
              </w:rPr>
              <w:t>Commitment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pPr>
            <w:r>
              <w:rPr>
                <w:b/>
              </w:rPr>
              <w:t>Initial Term Loan</w:t>
            </w:r>
            <w:r>
              <w:rPr/>
              <w:br/>
            </w:r>
            <w:r>
              <w:rPr>
                <w:b/>
              </w:rPr>
              <w:t>Commitment</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pPr>
            <w:r>
              <w:rPr>
                <w:b/>
              </w:rPr>
              <w:t>Swingline</w:t>
            </w:r>
            <w:r>
              <w:rPr/>
              <w:br/>
            </w:r>
            <w:r>
              <w:rPr>
                <w:b/>
              </w:rPr>
              <w:t>Commitment</w:t>
            </w:r>
            <w:r>
              <w:rPr/>
              <w:br/>
            </w:r>
            <w:r>
              <w:rPr>
                <w:b/>
              </w:rPr>
              <w:t>(Discretionary)</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54,545,454.56</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95,454,545.44</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10,000,000</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45,454,545.45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79,545,454.55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Bank, N.A.</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45,454,545.45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79,545,454.55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45,454,545.45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79,545,454.55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45,454,545.45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79,545,454.55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Capital One, National Association</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32,727,272.73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57,272,727.27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CIBC Bank USA</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32,727,272.73</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57,272,727.27</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32,727,272.73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57,272,727.27</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Horizon Bank</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18,181,818.18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31,818,181.82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Flagstar Bank, N.A.</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18,181,818.18</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31,818,181.82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Huntington National Bank</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3" w:type="dxa"/>
            <w:tcBorders/>
            <w:shd w:fill="CCEEFF" w:val="clear"/>
            <w:vAlign w:val="bottom"/>
          </w:tcPr>
          <w:p>
            <w:pPr>
              <w:pStyle w:val="TableContents"/>
              <w:bidi w:val="0"/>
              <w:spacing w:before="0" w:after="283"/>
              <w:jc w:val="right"/>
              <w:rPr/>
            </w:pPr>
            <w:r>
              <w:rPr/>
              <w:t>18,181,818.18</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717" w:type="dxa"/>
            <w:tcBorders/>
            <w:shd w:fill="CCEEFF" w:val="clear"/>
            <w:vAlign w:val="bottom"/>
          </w:tcPr>
          <w:p>
            <w:pPr>
              <w:pStyle w:val="TableContents"/>
              <w:bidi w:val="0"/>
              <w:spacing w:before="0" w:after="283"/>
              <w:jc w:val="right"/>
              <w:rPr/>
            </w:pPr>
            <w:r>
              <w:rPr/>
              <w:t>31,818,181.82</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tcPr>
          <w:p>
            <w:pPr>
              <w:pStyle w:val="TableContents"/>
              <w:bidi w:val="0"/>
              <w:spacing w:before="0" w:after="0"/>
              <w:jc w:val="left"/>
              <w:rPr>
                <w:rFonts w:ascii="Times New Roman" w:hAnsi="Times New Roman"/>
                <w:sz w:val="20"/>
              </w:rPr>
            </w:pPr>
            <w:r>
              <w:rPr>
                <w:rFonts w:ascii="Times New Roman" w:hAnsi="Times New Roman"/>
                <w:sz w:val="20"/>
              </w:rPr>
              <w:t>BOKF, NA dba Bank of Texas</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23" w:type="dxa"/>
            <w:tcBorders/>
            <w:vAlign w:val="bottom"/>
          </w:tcPr>
          <w:p>
            <w:pPr>
              <w:pStyle w:val="TableContents"/>
              <w:bidi w:val="0"/>
              <w:spacing w:before="0" w:after="283"/>
              <w:jc w:val="right"/>
              <w:rPr/>
            </w:pPr>
            <w:r>
              <w:rPr/>
              <w:t>10,909,090.91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717" w:type="dxa"/>
            <w:tcBorders/>
            <w:vAlign w:val="bottom"/>
          </w:tcPr>
          <w:p>
            <w:pPr>
              <w:pStyle w:val="TableContents"/>
              <w:bidi w:val="0"/>
              <w:spacing w:before="0" w:after="283"/>
              <w:jc w:val="right"/>
              <w:rPr/>
            </w:pPr>
            <w:r>
              <w:rPr/>
              <w:t>19,090,909.09</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816"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423" w:type="dxa"/>
            <w:tcBorders/>
            <w:shd w:fill="CCEEFF" w:val="clear"/>
            <w:vAlign w:val="bottom"/>
          </w:tcPr>
          <w:p>
            <w:pPr>
              <w:pStyle w:val="TableContents"/>
              <w:bidi w:val="0"/>
              <w:spacing w:before="0" w:after="283"/>
              <w:jc w:val="right"/>
              <w:rPr>
                <w:b/>
              </w:rPr>
            </w:pPr>
            <w:r>
              <w:rPr>
                <w:b/>
              </w:rPr>
              <w:t>400,000,000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b/>
              </w:rPr>
            </w:pPr>
            <w:r>
              <w:rPr>
                <w:b/>
              </w:rPr>
              <w:t>$</w:t>
            </w:r>
          </w:p>
        </w:tc>
        <w:tc>
          <w:tcPr>
            <w:tcW w:w="1717" w:type="dxa"/>
            <w:tcBorders/>
            <w:shd w:fill="CCEEFF" w:val="clear"/>
            <w:vAlign w:val="bottom"/>
          </w:tcPr>
          <w:p>
            <w:pPr>
              <w:pStyle w:val="TableContents"/>
              <w:bidi w:val="0"/>
              <w:spacing w:before="0" w:after="283"/>
              <w:jc w:val="right"/>
              <w:rPr>
                <w:b/>
              </w:rPr>
            </w:pPr>
            <w:r>
              <w:rPr>
                <w:b/>
              </w:rPr>
              <w:t>700,000,000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1352" w:type="dxa"/>
            <w:tcBorders/>
            <w:shd w:fill="CCEEFF" w:val="clear"/>
            <w:vAlign w:val="bottom"/>
          </w:tcPr>
          <w:p>
            <w:pPr>
              <w:pStyle w:val="TableContents"/>
              <w:bidi w:val="0"/>
              <w:spacing w:before="0" w:after="283"/>
              <w:jc w:val="right"/>
              <w:rPr>
                <w:b/>
              </w:rPr>
            </w:pPr>
            <w:r>
              <w:rPr>
                <w:b/>
              </w:rPr>
              <w:t>10,000,000</w:t>
            </w:r>
          </w:p>
        </w:tc>
        <w:tc>
          <w:tcPr>
            <w:tcW w:w="64" w:type="dxa"/>
            <w:tcBorders/>
            <w:shd w:fill="CCEEFF" w:val="clear"/>
            <w:vAlign w:val="bottom"/>
          </w:tcPr>
          <w:p>
            <w:pPr>
              <w:pStyle w:val="TableContents"/>
              <w:bidi w:val="0"/>
              <w:spacing w:before="0" w:after="283"/>
              <w:jc w:val="left"/>
              <w:rPr/>
            </w:pPr>
            <w:r>
              <w:rPr/>
              <w:t> </w:t>
            </w:r>
          </w:p>
        </w:tc>
      </w:tr>
      <w:tr>
        <w:trPr/>
        <w:tc>
          <w:tcPr>
            <w:tcW w:w="2816"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b/>
          <w:color w:val="0000FF"/>
          <w:sz w:val="20"/>
          <w:u w:val="single"/>
          <w:bdr w:val="double" w:sz="2" w:space="1" w:color="000000"/>
        </w:rPr>
        <w:t>EXHIBIT G</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color w:val="0000FF"/>
          <w:sz w:val="20"/>
          <w:u w:val="single"/>
          <w:bdr w:val="double" w:sz="2" w:space="1" w:color="000000"/>
        </w:rPr>
        <w:t>Form of Solvency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 xml:space="preserve">Pursuant to Section 4.03(e) of that certain Second Amended and Restated Credit Agreement, dated as of December 18, 2025 (as amended by that certain First Amendment to Second Amended and Restated Credit Agreement, dated as of July 15, 2026, and as otherwise amended, restated, amended and restated, supplemented or otherwise modified from time to time) (the “Credit Agreement”), the undersigned hereby certifies, solely in such undersigned’s capacity as </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financial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accounting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specify other officer with equivalent duties</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of Distribution Solutions Group, Inc., a Delaware corporation (formerly, Lawson Products, Inc., the “Company”), and not individually, as follows:</w:t>
      </w:r>
      <w:r>
        <w:rPr>
          <w:rFonts w:ascii="Times New Roman" w:hAnsi="Times New Roman"/>
          <w:sz w:val="20"/>
        </w:rPr>
        <w:t xml:space="preserve">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As of [] (the “Certificate Date”), after giving effect to (i) the Effective Time (as defined in the Take-Private Transaction Merger Agreement), (ii) the receipt by the Company of the proceeds of the Sponsor Equity Injection [and the High Yield Notes], and (iii) the Borrowings contemplated by the Borrowing Request delivered to the Administrative Agent on the Certificate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fair value of the assets of the Loan Parties, taken as a whole, at a fair valuation, will exceed the debts and liabilities (including without limitation the Obligations), subordinated, contingent or otherwise, of the Loan Parties, taken as a whole;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present fair saleable value of the property of the Loan Parties, taken as a whole, is greater than the amount that is required to pay the probable liability of their debts and other liabilities, subordinated, contingent or otherwise, as such debts and other liabilities become absolute and matured, taken as a whole;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Loan Parties, taken as a whole, are able to pay their debts and liabilities, subordinated, contingent or otherwise, as such debts and liabilities become absolute and matured;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the Loan Parties, taken as a whole, do not have unreasonably small capital with which to conduct the business in which they are engaged as such business is now conducted and is proposed to be conducted after the Certificate Date; 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with respect to any Canadian Loan Party, each such Canadian Loan Party is a Person who is not an Insolvent Person (as defined in the </w:t>
            </w:r>
            <w:r>
              <w:rPr>
                <w:rFonts w:ascii="Times New Roman" w:hAnsi="Times New Roman"/>
                <w:i/>
                <w:color w:val="0000FF"/>
                <w:sz w:val="20"/>
                <w:u w:val="single"/>
                <w:bdr w:val="double" w:sz="2" w:space="1" w:color="000000"/>
              </w:rPr>
              <w:t>Bankruptcy and Insolvency Act</w:t>
            </w:r>
            <w:r>
              <w:rPr>
                <w:rFonts w:ascii="Times New Roman" w:hAnsi="Times New Roman"/>
                <w:color w:val="0000FF"/>
                <w:sz w:val="20"/>
                <w:u w:val="single"/>
                <w:bdr w:val="double" w:sz="2" w:space="1" w:color="000000"/>
              </w:rPr>
              <w:t xml:space="preserve"> (Canada)).</w:t>
            </w:r>
            <w:r>
              <w:rPr>
                <w:rFonts w:ascii="Times New Roman" w:hAnsi="Times New Roman"/>
                <w:sz w:val="20"/>
              </w:rPr>
              <w:t xml:space="preserve"> </w:t>
            </w:r>
          </w:p>
        </w:tc>
      </w:tr>
    </w:tbl>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For purposes of this Certificate, the amount of any contingent liability at any time shall be computed as the amount that would reasonably be expected to become an actual and matured liability.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Capitalized terms used but not otherwise defined herein shall have the meanings assigned to them in the Credit Agreement. </w:t>
      </w:r>
    </w:p>
    <w:p>
      <w:pPr>
        <w:pStyle w:val="TextBody"/>
        <w:bidi w:val="0"/>
        <w:spacing w:before="24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IN WITNESS WHEREOF, the undersigned has executed this Solvency Certificate, solely in such undersigned’s capacity as </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financial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chief accounting officer</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specify other officer with equivalent duties</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of the Company and not in the undersigned’s individual or personal capacity and without personal liability, as of the Certificate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pPr>
            <w:r>
              <w:rPr/>
              <w:t> </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Name:</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xml:space="preserve">Title: </w:t>
            </w:r>
            <w:r>
              <w:rPr>
                <w:b/>
                <w:color w:val="0000FF"/>
                <w:u w:val="single"/>
                <w:bdr w:val="double" w:sz="2" w:space="1" w:color="000000"/>
              </w:rPr>
              <w:t>[</w:t>
            </w:r>
            <w:r>
              <w:rPr>
                <w:color w:val="0000FF"/>
                <w:u w:val="single"/>
                <w:bdr w:val="double" w:sz="2" w:space="1" w:color="000000"/>
              </w:rPr>
              <w:t>Chief Financial Officer</w:t>
            </w:r>
            <w:r>
              <w:rPr>
                <w:b/>
                <w:color w:val="0000FF"/>
                <w:u w:val="single"/>
                <w:bdr w:val="double" w:sz="2" w:space="1" w:color="000000"/>
              </w:rPr>
              <w:t>]</w:t>
            </w:r>
          </w:p>
        </w:tc>
      </w:tr>
    </w:tbl>
    <w:p>
      <w:pPr>
        <w:pStyle w:val="TextBody"/>
        <w:bidi w:val="0"/>
        <w:spacing w:before="0" w:after="0"/>
        <w:jc w:val="right"/>
        <w:rPr>
          <w:rFonts w:ascii="Times New Roman" w:hAnsi="Times New Roman"/>
          <w:b/>
          <w:sz w:val="20"/>
        </w:rPr>
      </w:pPr>
      <w:bookmarkStart w:id="10" w:name="d131211dex991.htm"/>
      <w:bookmarkStart w:id="11" w:name="ksd131211dex991"/>
      <w:bookmarkEnd w:id="10"/>
      <w:bookmarkEnd w:id="11"/>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TO BE TAKEN PRIVATE BY AFFILIATES OF LKCM HEADWATER INVESTMENTS FOR $35.00 PER COMMON SHARE IN CASH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July 16, 2026 — Distribution Solutions Group, Inc. (NASDAQ: DSGR) (“DSG” or the “Company”) today announced that it has entered into a definitive merger agreement under which newly formed entities controlled by LKCM Headwater Investments, LLC (collectively, “LKCM Headwater”) will acquire all of the outstanding shares of common stock of DSG not already owned by LKCM Headwater and its affiliates for $35.00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LKCM Headwater and its affiliates currently own approximately 79% of DSG’s outstanding common stock. J. Bryan King, DSG’s Chairman and Chief Executive Officer, is the Managing Partner of LKCM Headwater. </w:t>
      </w:r>
    </w:p>
    <w:p>
      <w:pPr>
        <w:pStyle w:val="TextBody"/>
        <w:bidi w:val="0"/>
        <w:spacing w:before="240" w:after="0"/>
        <w:jc w:val="left"/>
        <w:rPr>
          <w:rFonts w:ascii="Times New Roman" w:hAnsi="Times New Roman"/>
          <w:sz w:val="20"/>
        </w:rPr>
      </w:pPr>
      <w:r>
        <w:rPr>
          <w:rFonts w:ascii="Times New Roman" w:hAnsi="Times New Roman"/>
          <w:sz w:val="20"/>
        </w:rPr>
        <w:t xml:space="preserve">The $35.00 per share purchase price represents an increase of $5.50 per share over LKCM Headwater’s initial non-binding proposal of $29.50 per share submitted to the Company’s Board of Directors on March 14, 2026 (the “Initial Proposal”), and an approximately 81% premium to the Company’s closing share price of $19.31 on March 13, 2026, the last trading day prior to public disclosure of LKCM Headwater’s proposal. Upon completion of the transaction, the Company will become a privately held company 100% controlled by LKCM Headwater and its affiliates, and the Company’s common stock will no longer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Following LKCM Headwater’s delivery of the Initial Proposal and in light of LKCM Headwater’s existing ownership position and Mr. King’s roles with both LKCM Headwater and the Company, the board of directors of the Company (the “Board”) formed a special committee consisting of disinterested directors (the “Special Committee”) to evaluate the Initial Proposal and negotiate a potential transaction with LKCM Headwater. The Special Committee unanimously approved the transaction and recommended that the Board approve the transaction. The Board, upon the Special Committee’s unanimous recommendation, with certain directors recusing themselves from the vote, approved the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transaction is subject to customary closing conditions, including the expiration or termination of the waiting period under the Hart-Scott-Rodino Antitrust Improvements Act of 1976 (the “HSR Act”), the absence of legal restraints prohibiting the transaction, and stockholder approvals (including the approval of a majority of the votes cast by holders of DSG common stock not owned by LKCM Headwater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not subject to a financing condition; however, in connection with the execution of the merger agreement, the Company entered into an amendment to its existing credit agreement with JPMorgan Chase Bank, N.A., as administrative agent, pursuant to which, subject to the applicable terms and conditions of the Company’s credit agreement, proceeds of revolving loans may be used to finance the transactions contemplated by the merger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Advisors </w:t>
      </w:r>
    </w:p>
    <w:p>
      <w:pPr>
        <w:pStyle w:val="TextBody"/>
        <w:bidi w:val="0"/>
        <w:spacing w:before="240" w:after="0"/>
        <w:jc w:val="left"/>
        <w:rPr>
          <w:rFonts w:ascii="Times New Roman" w:hAnsi="Times New Roman"/>
          <w:sz w:val="20"/>
        </w:rPr>
      </w:pPr>
      <w:r>
        <w:rPr>
          <w:rFonts w:ascii="Times New Roman" w:hAnsi="Times New Roman"/>
          <w:sz w:val="20"/>
        </w:rPr>
        <w:t xml:space="preserve">William Blair &amp; Company, L.L.C. is serving as financial advisor to the Special Committee. McDermott Will &amp; Schulte LLP is serving as legal counsel to the Special Committee.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is serving as exclusive financial advisor to LKCM Headwater. Mayer Brown LLP is serving as legal counsel to LKCM Headwater.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relates to the proposed transaction involving the proposed acquisition of the Company by LKCM Headwater and its affiliates. In connection with the proposed transaction, the Company intends to file with the Securities and Exchange Commission (the “SEC”) a proxy statement on Schedule 14A and the parties intend to file a transaction statement on Schedule 13E-3. The Company may also file other relevant documents with the SEC regarding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BEFORE MAKING ANY VOTING DECISION, INVESTORS AND STOCKHOLDERS OF THE COMPANY ARE URGED TO READ THE PROXY STATEMENT, THE SCHEDULE 13E-3 AND ANY OTHER RELEVANT DOCUMENTS FILED OR TO BE FILED WITH THE SEC CAREFULLY AND IN THEIR ENTIRETY WHEN THEY BECOME AVAILABLE BECAUSE THEY WILL CONTAIN IMPORTANT INFORMATION ABOUT THE COMPANY, LKCM HEADWATER AND ITS AFFILIATES, THE PROPOSED TRANSACTION AND RELATED MATTERS. </w:t>
      </w:r>
    </w:p>
    <w:p>
      <w:pPr>
        <w:pStyle w:val="TextBody"/>
        <w:bidi w:val="0"/>
        <w:spacing w:before="120" w:after="0"/>
        <w:jc w:val="left"/>
        <w:rPr>
          <w:rFonts w:ascii="Times New Roman" w:hAnsi="Times New Roman"/>
          <w:sz w:val="20"/>
        </w:rPr>
      </w:pPr>
      <w:r>
        <w:rPr>
          <w:rFonts w:ascii="Times New Roman" w:hAnsi="Times New Roman"/>
          <w:sz w:val="20"/>
        </w:rPr>
        <w:t xml:space="preserve">Investors and stockholders will be able to obtain free copies of the proxy statement, the Schedule 13E-3 and other documents filed by the Company with the SEC through the website maintained by the SEC at </w:t>
      </w:r>
      <w:r>
        <w:rPr>
          <w:rFonts w:ascii="Times New Roman" w:hAnsi="Times New Roman"/>
          <w:sz w:val="20"/>
          <w:u w:val="single"/>
        </w:rPr>
        <w:t>www.sec.gov</w:t>
      </w:r>
      <w:r>
        <w:rPr>
          <w:rFonts w:ascii="Times New Roman" w:hAnsi="Times New Roman"/>
          <w:sz w:val="20"/>
        </w:rPr>
        <w:t xml:space="preserve">. Copies of the documents filed with the SEC by the Company will also be available free of charge on the Company’s investor relations website at investor.distributionsolutionsgroup.com.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certain of its directors, executive officers and other members of management and employees may be deemed to be participants in the solicitation of proxies from the Company’s stockholders in connection with the proposed transaction. Information regarding the Company’s directors and executive officers is available in the Company’s proxy statement for its most recent annual meeting of stockholders and in other documents filed by the Company with the SEC. Additional information regarding the interests of those persons and other persons who may be deemed participants in the proposed transaction will be included in the proxy statement and Schedule 13E-3 when they are filed with the SEC. To the extent holdings of the Company’s securities by its directors or executive officers have changed since the amounts set forth in the Company’s 2026 proxy statement, such changes have been or will be reflected on Initial Statements of Beneficial Ownership on Form 3 or Statements of Change in Ownership on Form 4 filed with the SEC.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any securities, or a solicitation of any vote, consent or approval, in any jurisdiction pursuant to or in connection with the proposed transaction or otherwise, nor shall there be any sale, issuance or transfer of securities in any jurisdiction in contravention of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DSG is a premier multi-platform specialty distribution company providing high touch, value-added distribution solutions to the maintenance, repair &amp; operations (MRO), original equipment manufacturer and industrial technologies markets. DSG was formed through the strategic combination of Lawson Products, a leader in MRO distribution of C-parts, Gexpro Services, a leading global supply chain services provider to manufacturing customers, and TestEquity, a leader in electronic test &amp; measurement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federal securities laws that involve risks and uncertainties. The terms “aim,” “anticipate,” “believe,” “contemplates,” “continues,” “could,” “ensure,” “estimate,” “expect,” “forecasts,” “if,” “intend,” “likely,” “may,” “might,” “objective,” “outlook,” “plan,” “positioned,” “potential,” “predict,” “probable,” “project,” “shall,” “should,” “strategy,” “will,” “would,” and variations of them and other words and terms of similar meaning and expression, and the negatives of such words and terms, are intended to identify forward-looking statements. Forward-looking statements can also be identified by the fact that they do not relate strictly to historical or current facts.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 this press release include, but are not limited to, statements regarding the proposed transaction, the expected timing of completion of the proposed transaction, the ability of the parties to consummate the proposed transaction, the satisfaction of closing conditions, the expected benefits of the proposed transaction, the expected ownership and status of DSG following completion of the proposed transaction, the delisting of DSG’s common stock from Nasdaq, and DSG’s business and strategic plans. Such forward-looking statements are based on current expectations and involve inherent risks, uncertainties and assumptions, including factors that could delay, divert or change any of them, and could cause actual outcomes to differ materially from current expectations. </w:t>
      </w:r>
    </w:p>
    <w:p>
      <w:pPr>
        <w:pStyle w:val="TextBody"/>
        <w:bidi w:val="0"/>
        <w:spacing w:before="240" w:after="0"/>
        <w:jc w:val="left"/>
        <w:rPr>
          <w:rFonts w:ascii="Times New Roman" w:hAnsi="Times New Roman"/>
          <w:sz w:val="20"/>
        </w:rPr>
      </w:pPr>
      <w:r>
        <w:rPr>
          <w:rFonts w:ascii="Times New Roman" w:hAnsi="Times New Roman"/>
          <w:sz w:val="20"/>
        </w:rPr>
        <w:t xml:space="preserve">DSG can give no assurance that any goal or plan set forth in forward-looking statements can be achieved, and DSG cautions readers not to place undue reliance on such statements. Actual results may differ materially from those projected as a result of certain risks and uncertainties, including, among others: the risk that the proposed transaction may not be completed in a timely manner or at all; the failure to obtain required stockholder approvals, including approval by a majority of votes cast by DSG stockholders other than LKCM Headwater and its affiliates; borrowings under the amendment to DSG’s existing credit agreement not being available to finance the merger consideration; the failure to satisfy other conditions to the completion of the proposed transaction; the failure to obtain clearance for the transaction under the HSR Act or the imposition of conditions or restrictions in connection with obtaining such clearance; the occurrence of any event, change or other circumstance that could give rise to termination of the merger agreement; the effect of the announcement or pendency of the proposed transaction on DSG’s business relationships, operating results, employees, customers, suppliers, financing sources and other business counterparties; risks related to diverting management’s attention from DSG’s ongoing business operations; the risk of litigation relating to the proposed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the possibility that competing offers or acquisition proposals may be made; and other risks described from time to time in the reports DSG files with the SEC, including DSG’s Annual Report on Form 10-K, Quarterly Reports on Form 10-Q, Current Reports on Form 8-K and other reports filed with the SEC, which should be reviewed carefully. </w:t>
      </w:r>
    </w:p>
    <w:p>
      <w:pPr>
        <w:pStyle w:val="TextBody"/>
        <w:bidi w:val="0"/>
        <w:spacing w:before="240" w:after="0"/>
        <w:jc w:val="left"/>
        <w:rPr>
          <w:rFonts w:ascii="Times New Roman" w:hAnsi="Times New Roman"/>
          <w:sz w:val="20"/>
        </w:rPr>
      </w:pPr>
      <w:r>
        <w:rPr>
          <w:rFonts w:ascii="Times New Roman" w:hAnsi="Times New Roman"/>
          <w:sz w:val="20"/>
        </w:rPr>
        <w:t xml:space="preserve">Each forward-looking statement speaks only as of the date on which such statement is made, and DSG undertakes no obligation to update any such statement to reflect events or circumstances arising after such date,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Company: </w:t>
      </w:r>
    </w:p>
    <w:p>
      <w:pPr>
        <w:pStyle w:val="TextBody"/>
        <w:bidi w:val="0"/>
        <w:spacing w:before="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Ronald J. Knutson </w:t>
      </w:r>
    </w:p>
    <w:p>
      <w:pPr>
        <w:pStyle w:val="TextBody"/>
        <w:bidi w:val="0"/>
        <w:spacing w:before="0" w:after="0"/>
        <w:jc w:val="left"/>
        <w:rPr>
          <w:rFonts w:ascii="Times New Roman" w:hAnsi="Times New Roman"/>
          <w:sz w:val="20"/>
        </w:rPr>
      </w:pPr>
      <w:r>
        <w:rPr>
          <w:rFonts w:ascii="Times New Roman" w:hAnsi="Times New Roman"/>
          <w:sz w:val="20"/>
        </w:rPr>
        <w:t xml:space="preserve">Executive Vice President, Chief Financial Officer and Treasurer </w:t>
      </w:r>
    </w:p>
    <w:p>
      <w:pPr>
        <w:pStyle w:val="TextBody"/>
        <w:bidi w:val="0"/>
        <w:spacing w:before="0" w:after="0"/>
        <w:jc w:val="left"/>
        <w:rPr>
          <w:rFonts w:ascii="Times New Roman" w:hAnsi="Times New Roman"/>
          <w:sz w:val="20"/>
        </w:rPr>
      </w:pPr>
      <w:r>
        <w:rPr>
          <w:rFonts w:ascii="Times New Roman" w:hAnsi="Times New Roman"/>
          <w:sz w:val="20"/>
        </w:rPr>
        <w:t xml:space="preserve">1-888-611-9888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Three Part Advisors, LLC </w:t>
      </w:r>
    </w:p>
    <w:p>
      <w:pPr>
        <w:pStyle w:val="TextBody"/>
        <w:bidi w:val="0"/>
        <w:spacing w:before="0" w:after="0"/>
        <w:jc w:val="left"/>
        <w:rPr>
          <w:rFonts w:ascii="Times New Roman" w:hAnsi="Times New Roman"/>
          <w:sz w:val="20"/>
        </w:rPr>
      </w:pPr>
      <w:r>
        <w:rPr>
          <w:rFonts w:ascii="Times New Roman" w:hAnsi="Times New Roman"/>
          <w:sz w:val="20"/>
        </w:rPr>
        <w:t xml:space="preserve">Steven Hooser / Sandy Martin </w:t>
      </w:r>
    </w:p>
    <w:p>
      <w:pPr>
        <w:pStyle w:val="TextBody"/>
        <w:bidi w:val="0"/>
        <w:spacing w:before="0" w:after="0"/>
        <w:jc w:val="left"/>
        <w:rPr>
          <w:rFonts w:ascii="Times New Roman" w:hAnsi="Times New Roman"/>
          <w:sz w:val="20"/>
        </w:rPr>
      </w:pPr>
      <w:r>
        <w:rPr>
          <w:rFonts w:ascii="Times New Roman" w:hAnsi="Times New Roman"/>
          <w:sz w:val="20"/>
        </w:rPr>
        <w:t xml:space="preserve">214-872-2710 / 214-616-2207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363</Pages>
  <Words>199312</Words>
  <Characters>1066557</Characters>
  <CharactersWithSpaces>1266765</CharactersWithSpaces>
  <Paragraphs>5437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