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0097d8k.htm"/>
      <w:bookmarkStart w:id="1" w:name="ksd17009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720"/>
        <w:gridCol w:w="60"/>
        <w:gridCol w:w="98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0-10546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36-2229304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5420"/>
        <w:gridCol w:w="60"/>
        <w:gridCol w:w="1145"/>
      </w:tblGrid>
      <w:tr>
        <w:trPr/>
        <w:tc>
          <w:tcPr>
            <w:tcW w:w="5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420" w:type="dxa"/>
            <w:tcBorders/>
            <w:vAlign w:val="center"/>
          </w:tcPr>
          <w:p>
            <w:pPr>
              <w:pStyle w:val="TableContents"/>
              <w:bidi w:val="0"/>
              <w:spacing w:before="0" w:after="283"/>
              <w:jc w:val="center"/>
              <w:rPr>
                <w:b/>
              </w:rPr>
            </w:pPr>
            <w:r>
              <w:rPr>
                <w:b/>
              </w:rPr>
              <w:t>301 Commerce Street, Suite 1700, Fort Worth,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76102</w:t>
            </w:r>
          </w:p>
        </w:tc>
      </w:tr>
      <w:tr>
        <w:trPr/>
        <w:tc>
          <w:tcPr>
            <w:tcW w:w="542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(888) 611-9888</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3065"/>
        <w:gridCol w:w="60"/>
        <w:gridCol w:w="680"/>
        <w:gridCol w:w="60"/>
        <w:gridCol w:w="2735"/>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30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7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065" w:type="dxa"/>
            <w:tcBorders/>
            <w:vAlign w:val="center"/>
          </w:tcPr>
          <w:p>
            <w:pPr>
              <w:pStyle w:val="TableContents"/>
              <w:bidi w:val="0"/>
              <w:spacing w:before="0" w:after="283"/>
              <w:jc w:val="center"/>
              <w:rPr/>
            </w:pPr>
            <w:r>
              <w:rPr/>
              <w:t>Common stock, $1.00 par value</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DSGR</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Item 7.01 Regulation FD Disclosure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2026, Distribution Solutions Group, Inc. (“DSG” or the “Company”) announced that Eclipse Acquisitions Merger Sub, Inc. (“Escrow Issuer”), a newly formed corporation controlled by LKCM Headwater Investments, LLC (“LKCM Headwater”), an affiliate of the Company, priced the offering (the “Offering”) of $800 million aggregate principal amount of its 10.000% Senior Notes due 2032 (the “Notes”). The aggregate principal amount of Notes offered in the Offering was increased to $800 million from the previously announced $700 million. The Offering is expected to close on October 15,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by the Escrow Issuer. The gross proceeds from the sale of the Notes will be placed into an escrow account pending the satisfaction of certain conditions, including, but not limited to, the substantially concurrent consummation of the previously announced merger (the “Merger”). The Merger will be effectuated pursuant to the Agreement and Plan of Merger, dated as of July 15, 2026, among DSG, the Escrow Issuer, Eclipse Parent Acquisitions, LLC (“Parent HoldCo”), and Eclipse Intermediate Acquisitions, LLC, a wholly owned subsidiary of Parent HoldCo and the direct parent company of the Escrow Issuer (“Intermediate HoldCo”). Pursuant to the Merger, affiliates of LKCM Headwater will acquire all of the outstanding shares of DSG’s common stock not already owned by LKCM Headwater and its affiliates for $35.00 per share in cash (the “Share Acquisition Consideration”) and the Escrow Issuer will merge with and into DSG, with DSG continuing as the surviving corporation and becoming a wholly owned subsidiary of Intermediate HoldCo, at which point DSG will assume all of the Escrow Issuer’s rights and obligations under the Notes and DSG’s subsidiaries that are obligors under DSG’s existing credit agreement will become guarantors of the Notes. The Merger is subject to customary closing conditions, including obtaining the requisite approval of DSG’s stockholders. There can be no assurance that the conditions to the Merger will be satisfied or that the Merger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Upon their release from escrow (assuming the conditions to such release are satisfied), the gross proceeds from the Offering, together with proceeds from an equity contribution from LKCM Headwater into DSG are expected to be used (i) to fund the payment of the Share Acquisition Consideration to consummate the Merger, (ii) to repay a portion of DSG’s outstanding indebtedness under its existing credit agreement, (iii) to pay the fees and expenses of the Offering, the Merger and other transactions related thereto and (iv) for general corporate purposes, including to finance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only to persons reasonably believed to be qualified institutional buyers in reliance on the exemption from registration provided by Rule 144A of the Securities Act and to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2026, the Company issued a press release regarding pricing of the Offering. A copy of the press release is attached as Exhibit 99.1 to this Current Report on Form 8-K (“Current Report”)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including Exhibit 99.1, is being furnished and shall not be deemed “filed” for purposes of Section 18 of the Securities Exchange Act of 1934, as amended (the “Exchange Act”), or otherwise subject to the liabilities under that section, nor shall such information be deemed incorporated by reference in any filing under the Securities Act or the Exchange Act, except as expressly set forth by specific reference in such filing.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contains certain “forward-looking statements” within the meaning of Section 27A of the Securities Act, Section 21E of the Exchange Act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closing of the Offering by the Escrow Issuer and the use of proceeds therefrom, the obtaining of the requisite approval of the Merger by DSG stockholders, the consummation of the Merger and the satisfaction of the conditions to the release of the gross proceeds of the Offering from the escrow account.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890"/>
        <w:gridCol w:w="120"/>
        <w:gridCol w:w="762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70097dex991.htm">
              <w:r>
                <w:rPr>
                  <w:rStyle w:val="InternetLink"/>
                </w:rPr>
                <w:t xml:space="preserve">Press Release dated October 7,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098" w:type="dxa"/>
        <w:jc w:val="left"/>
        <w:tblInd w:w="0" w:type="dxa"/>
        <w:tblLayout w:type="fixed"/>
        <w:tblCellMar>
          <w:top w:w="0" w:type="dxa"/>
          <w:left w:w="0" w:type="dxa"/>
          <w:bottom w:w="0" w:type="dxa"/>
          <w:right w:w="0" w:type="dxa"/>
        </w:tblCellMar>
      </w:tblPr>
      <w:tblGrid>
        <w:gridCol w:w="2150"/>
        <w:gridCol w:w="60"/>
        <w:gridCol w:w="23"/>
        <w:gridCol w:w="60"/>
        <w:gridCol w:w="650"/>
        <w:gridCol w:w="60"/>
        <w:gridCol w:w="609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9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283"/>
              <w:jc w:val="left"/>
              <w:rPr>
                <w:b/>
              </w:rPr>
            </w:pPr>
            <w:r>
              <w:rPr>
                <w:b/>
              </w:rPr>
              <w:t>DISTRIBUTION SOLUTIONS GROUP,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05" w:type="dxa"/>
            <w:gridSpan w:val="3"/>
            <w:tcBorders/>
            <w:vAlign w:val="center"/>
          </w:tcPr>
          <w:p>
            <w:pPr>
              <w:pStyle w:val="TableContents"/>
              <w:bidi w:val="0"/>
              <w:spacing w:before="0" w:after="283"/>
              <w:jc w:val="left"/>
              <w:rPr/>
            </w:pPr>
            <w:r>
              <w:rPr/>
              <w:t>(Registrant)</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15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J. Knutson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Ronald J. Knutson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Executive Vice President, Chief Financial Officer and Treasurer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 w:name="d170097dex991.htm"/>
      <w:bookmarkStart w:id="3" w:name="ksd170097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ANNOUNCES SENIOR NOTES </w:t>
      </w:r>
    </w:p>
    <w:p>
      <w:pPr>
        <w:pStyle w:val="TextBody"/>
        <w:bidi w:val="0"/>
        <w:spacing w:before="0" w:after="0"/>
        <w:jc w:val="center"/>
        <w:rPr>
          <w:rFonts w:ascii="Times New Roman" w:hAnsi="Times New Roman"/>
          <w:b/>
          <w:sz w:val="20"/>
        </w:rPr>
      </w:pPr>
      <w:r>
        <w:rPr>
          <w:rFonts w:ascii="Times New Roman" w:hAnsi="Times New Roman"/>
          <w:b/>
          <w:sz w:val="20"/>
        </w:rPr>
        <w:t xml:space="preserve">OFFERING UPSIZING FROM $700 MILLION TO $800 MILLION AND PRICING </w:t>
      </w:r>
    </w:p>
    <w:p>
      <w:pPr>
        <w:pStyle w:val="TextBody"/>
        <w:bidi w:val="0"/>
        <w:spacing w:before="240" w:after="0"/>
        <w:jc w:val="left"/>
        <w:rPr>
          <w:rFonts w:ascii="Times New Roman" w:hAnsi="Times New Roman"/>
          <w:sz w:val="20"/>
        </w:rPr>
      </w:pPr>
      <w:r>
        <w:rPr>
          <w:rFonts w:ascii="Times New Roman" w:hAnsi="Times New Roman"/>
          <w:sz w:val="20"/>
        </w:rPr>
        <w:t xml:space="preserve">Fort Worth, Texas – (October 7, 2026) – Distribution Solutions Group, Inc. (NASDAQ: DSGR) (“DSG” or the “Company”), a premier specialty distribution company, today announced that Eclipse Acquisitions Merger Sub, Inc. (“Escrow Issuer”), a newly formed corporation controlled by LKCM Headwater Investments, LLC (“LKCM Headwater” or the “Sponsor”), an affiliate of the Company, priced the offering (the “Offering”) of $800 million aggregate principal amount of its 10.000% Senior Notes due 2032 (the “Notes”). The aggregate principal amount of Notes offered in the Offering was increased to $800 million from the previously announced $700 million. The Offering is expected to close on October 15,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by the Escrow Issuer. The gross proceeds from the sale of the Notes will be placed into an escrow account pending the satisfaction of certain conditions, including, but not limited to, the substantially concurrent consummation of the previously announced merger (the “Merger”), pursuant to which affiliates of LKCM Headwater will acquire all of the outstanding shares of DSG’s common stock not already owned by LKCM Headwater and its affiliates for $35.00 per share in cash (the “Share Acquisition Consideration”) and the Escrow Issuer will merge with and into DSG, with DSG continuing as the surviving corporation, at which point DSG will assume all of the Escrow Issuer’s rights and obligations under the Notes and DSG’s subsidiaries that are obligors under DSG’s existing credit agreement will become guarantors of the Notes. The Merger is subject to customary closing conditions, including obtaining the requisite approval of DSG’s stockholders. There can be no assurance that the conditions to the Merger will be satisfied or that the Merger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Upon their release from escrow (assuming the conditions to such release are satisfied), the gross proceeds from the Offering, together with proceeds from an equity contribution from LKCM Headwater into DSG are expected to be used to (i) fund the payment of the Share Acquisition Consideration to consummate the Merger, (ii) repay a portion of DSG’s outstanding indebtedness under its existing credit agreement, (iii) pay the fees and expenses of the Offering, the Merger and other transactions related thereto and (iv) for general corporate purposes, including to finance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only to persons reasonably believed to be qualified institutional buyers in reliance on the exemption from registration provided by Rule 144A of the Securities Act and to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This press release is issued pursuant to Rule 135c of the Securities Act and shall not constitute an offer to sell or the solicitation of an offer to buy, nor shall there be any offer or sale of, any security in any jurisdiction in which such offer, solicitation or sale would be unlawful.</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DSG is a premier multi-platform specialty distribution company providing high-touch, value-added distribution solutions to the maintenance, repair &amp; operations (MRO), original equipment manufacturer (OEM) and industrial technologies markets. DSG was formed through the strategic combination of Lawson Products, a leader in MRO distribution of C-parts, including the Canada Branch Division; Gexpro Services, a leading global supply chain services provider to manufacturing customers; and TestEquity, a leader in electronic test &amp; measurement and supply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over 200,000 customers in several diverse end markets supported by approximately 4,300 dedicated employees and strong vendor partnerships. DSG ships from strategically located distribution and service centers to customers in North America, Europe, Asia, South America and the Middle East.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Distribution Solutions Group, please visit </w:t>
      </w:r>
      <w:r>
        <w:rPr>
          <w:rFonts w:ascii="Times New Roman" w:hAnsi="Times New Roman"/>
          <w:sz w:val="20"/>
          <w:u w:val="single"/>
        </w:rPr>
        <w:t>www.distributionsolutionsgroup.com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certain “forward-looking statements” within the meaning of Section 27A of the Securities Act, Section 21E of the Securities Exchange Act of 1934, as amended,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closing of the Offering by the Escrow Issuer and the use of proceeds therefrom, the obtaining of the requisite approval of the Merger by DSG stockholders, the consummation of the Merger and the satisfaction of the conditions to the release of the gross proceeds of the Offering from the escrow account.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Further Information Contact: </w:t>
      </w:r>
    </w:p>
    <w:p>
      <w:pPr>
        <w:pStyle w:val="TextBody"/>
        <w:bidi w:val="0"/>
        <w:spacing w:before="120" w:after="0"/>
        <w:jc w:val="left"/>
        <w:rPr>
          <w:rFonts w:ascii="Times New Roman" w:hAnsi="Times New Roman"/>
          <w:sz w:val="20"/>
        </w:rPr>
      </w:pPr>
      <w:r>
        <w:rPr>
          <w:rFonts w:ascii="Times New Roman" w:hAnsi="Times New Roman"/>
          <w:sz w:val="20"/>
          <w:u w:val="single"/>
        </w:rPr>
        <w:t>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Ronald J. Knutson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Financial Officer and Treasurer </w:t>
      </w:r>
    </w:p>
    <w:p>
      <w:pPr>
        <w:pStyle w:val="TextBody"/>
        <w:bidi w:val="0"/>
        <w:spacing w:before="0" w:after="0"/>
        <w:jc w:val="left"/>
        <w:rPr>
          <w:rFonts w:ascii="Times New Roman" w:hAnsi="Times New Roman"/>
          <w:sz w:val="20"/>
        </w:rPr>
      </w:pPr>
      <w:r>
        <w:rPr>
          <w:rFonts w:ascii="Times New Roman" w:hAnsi="Times New Roman"/>
          <w:sz w:val="20"/>
        </w:rPr>
        <w:t xml:space="preserve">1-888-611-9888 </w:t>
      </w:r>
    </w:p>
    <w:p>
      <w:pPr>
        <w:pStyle w:val="TextBody"/>
        <w:bidi w:val="0"/>
        <w:spacing w:before="240" w:after="0"/>
        <w:jc w:val="left"/>
        <w:rPr>
          <w:rFonts w:ascii="Times New Roman" w:hAnsi="Times New Roman"/>
          <w:sz w:val="20"/>
        </w:rPr>
      </w:pPr>
      <w:r>
        <w:rPr>
          <w:rFonts w:ascii="Times New Roman" w:hAnsi="Times New Roman"/>
          <w:sz w:val="20"/>
          <w:u w:val="single"/>
        </w:rPr>
        <w:t>Investor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Three Part Advisors, LLC </w:t>
      </w:r>
    </w:p>
    <w:p>
      <w:pPr>
        <w:pStyle w:val="TextBody"/>
        <w:bidi w:val="0"/>
        <w:spacing w:before="0" w:after="0"/>
        <w:jc w:val="left"/>
        <w:rPr>
          <w:rFonts w:ascii="Times New Roman" w:hAnsi="Times New Roman"/>
          <w:sz w:val="20"/>
        </w:rPr>
      </w:pPr>
      <w:r>
        <w:rPr>
          <w:rFonts w:ascii="Times New Roman" w:hAnsi="Times New Roman"/>
          <w:sz w:val="20"/>
        </w:rPr>
        <w:t xml:space="preserve">Steven Hooser/Sandy Martin </w:t>
      </w:r>
    </w:p>
    <w:p>
      <w:pPr>
        <w:pStyle w:val="TextBody"/>
        <w:bidi w:val="0"/>
        <w:spacing w:before="0" w:after="0"/>
        <w:jc w:val="left"/>
        <w:rPr>
          <w:rFonts w:ascii="Times New Roman" w:hAnsi="Times New Roman"/>
          <w:sz w:val="20"/>
        </w:rPr>
      </w:pPr>
      <w:r>
        <w:rPr>
          <w:rFonts w:ascii="Times New Roman" w:hAnsi="Times New Roman"/>
          <w:sz w:val="20"/>
        </w:rPr>
        <w:t xml:space="preserve">214-872-2710 / 214-616-2207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3431</Words>
  <Characters>18979</Characters>
  <CharactersWithSpaces>22410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