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color w:val="auto"/>
        </w:rPr>
        <w:t>UNITED STATES</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color w:val="auto"/>
        </w:rPr>
        <w:t>FORM 8-K</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CURRENT REPORT</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Pursuant to Section 13 or 15(d) of the Securities Exchange Act of 1934</w:t>
      </w:r>
    </w:p>
    <w:p>
      <w:pPr>
        <w:spacing w:after="0" w:line="22" w:lineRule="exact"/>
        <w:rPr>
          <w:sz w:val="24"/>
          <w:szCs w:val="24"/>
          <w:color w:val="auto"/>
        </w:rPr>
      </w:pPr>
    </w:p>
    <w:tbl>
      <w:tblPr>
        <w:tblLayout w:type="fixed"/>
        <w:tblInd w:w="900" w:type="dxa"/>
        <w:tblCellMar>
          <w:top w:w="0" w:type="dxa"/>
          <w:left w:w="0" w:type="dxa"/>
          <w:bottom w:w="0" w:type="dxa"/>
          <w:right w:w="0" w:type="dxa"/>
        </w:tblCellMar>
      </w:tblPr>
      <w:tr>
        <w:trPr>
          <w:trHeight w:val="258"/>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Date of Report (Date of earliest event reported):</w:t>
            </w:r>
          </w:p>
        </w:tc>
        <w:tc>
          <w:tcPr>
            <w:tcW w:w="2700" w:type="dxa"/>
            <w:vAlign w:val="bottom"/>
          </w:tcPr>
          <w:p>
            <w:pPr>
              <w:ind w:left="1600"/>
              <w:spacing w:after="0"/>
              <w:rPr>
                <w:sz w:val="20"/>
                <w:szCs w:val="20"/>
                <w:color w:val="auto"/>
              </w:rPr>
            </w:pPr>
            <w:r>
              <w:rPr>
                <w:rFonts w:ascii="Times New Roman" w:cs="Times New Roman" w:eastAsia="Times New Roman" w:hAnsi="Times New Roman"/>
                <w:sz w:val="20"/>
                <w:szCs w:val="20"/>
                <w:color w:val="auto"/>
                <w:w w:val="96"/>
              </w:rPr>
              <w:t>May 14, 2026</w:t>
            </w:r>
          </w:p>
        </w:tc>
      </w:tr>
    </w:tbl>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DISTRIBUTION SOLUTIONS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845185</wp:posOffset>
            </wp:positionH>
            <wp:positionV relativeFrom="paragraph">
              <wp:posOffset>27940</wp:posOffset>
            </wp:positionV>
            <wp:extent cx="54521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tbl>
      <w:tblPr>
        <w:tblLayout w:type="fixed"/>
        <w:tblInd w:w="0" w:type="dxa"/>
        <w:tblCellMar>
          <w:top w:w="0" w:type="dxa"/>
          <w:left w:w="0" w:type="dxa"/>
          <w:bottom w:w="0" w:type="dxa"/>
          <w:right w:w="0" w:type="dxa"/>
        </w:tblCellMar>
      </w:tblPr>
      <w:tr>
        <w:trPr>
          <w:trHeight w:val="252"/>
        </w:trPr>
        <w:tc>
          <w:tcPr>
            <w:tcW w:w="120" w:type="dxa"/>
            <w:vAlign w:val="bottom"/>
          </w:tcPr>
          <w:p>
            <w:pPr>
              <w:spacing w:after="0"/>
              <w:rPr>
                <w:sz w:val="21"/>
                <w:szCs w:val="21"/>
                <w:color w:val="auto"/>
              </w:rPr>
            </w:pPr>
          </w:p>
        </w:tc>
        <w:tc>
          <w:tcPr>
            <w:tcW w:w="2820" w:type="dxa"/>
            <w:vAlign w:val="bottom"/>
          </w:tcPr>
          <w:p>
            <w:pPr>
              <w:jc w:val="center"/>
              <w:ind w:left="207"/>
              <w:spacing w:after="0"/>
              <w:rPr>
                <w:sz w:val="20"/>
                <w:szCs w:val="20"/>
                <w:color w:val="auto"/>
              </w:rPr>
            </w:pPr>
            <w:r>
              <w:rPr>
                <w:rFonts w:ascii="Times New Roman" w:cs="Times New Roman" w:eastAsia="Times New Roman" w:hAnsi="Times New Roman"/>
                <w:sz w:val="20"/>
                <w:szCs w:val="20"/>
                <w:color w:val="auto"/>
                <w:w w:val="99"/>
              </w:rPr>
              <w:t>Delaware</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0-10546</w:t>
            </w: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60" w:type="dxa"/>
            <w:vAlign w:val="bottom"/>
          </w:tcPr>
          <w:p>
            <w:pPr>
              <w:jc w:val="right"/>
              <w:ind w:right="845"/>
              <w:spacing w:after="0"/>
              <w:rPr>
                <w:sz w:val="20"/>
                <w:szCs w:val="20"/>
                <w:color w:val="auto"/>
              </w:rPr>
            </w:pPr>
            <w:r>
              <w:rPr>
                <w:rFonts w:ascii="Times New Roman" w:cs="Times New Roman" w:eastAsia="Times New Roman" w:hAnsi="Times New Roman"/>
                <w:sz w:val="20"/>
                <w:szCs w:val="20"/>
                <w:color w:val="auto"/>
              </w:rPr>
              <w:t>36-2229304</w:t>
            </w:r>
          </w:p>
        </w:tc>
        <w:tc>
          <w:tcPr>
            <w:tcW w:w="20" w:type="dxa"/>
            <w:vAlign w:val="bottom"/>
          </w:tcPr>
          <w:p>
            <w:pPr>
              <w:spacing w:after="0"/>
              <w:rPr>
                <w:sz w:val="21"/>
                <w:szCs w:val="21"/>
                <w:color w:val="auto"/>
              </w:rPr>
            </w:pPr>
          </w:p>
        </w:tc>
      </w:tr>
      <w:tr>
        <w:trPr>
          <w:trHeight w:val="178"/>
        </w:trPr>
        <w:tc>
          <w:tcPr>
            <w:tcW w:w="120" w:type="dxa"/>
            <w:vAlign w:val="bottom"/>
          </w:tcPr>
          <w:p>
            <w:pPr>
              <w:spacing w:after="0"/>
              <w:rPr>
                <w:sz w:val="15"/>
                <w:szCs w:val="15"/>
                <w:color w:val="auto"/>
              </w:rPr>
            </w:pPr>
          </w:p>
        </w:tc>
        <w:tc>
          <w:tcPr>
            <w:tcW w:w="2820" w:type="dxa"/>
            <w:vAlign w:val="bottom"/>
            <w:tcBorders>
              <w:top w:val="single" w:sz="8" w:color="auto"/>
            </w:tcBorders>
          </w:tcPr>
          <w:p>
            <w:pPr>
              <w:jc w:val="center"/>
              <w:ind w:left="227"/>
              <w:spacing w:after="0" w:line="177"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300" w:type="dxa"/>
            <w:vAlign w:val="bottom"/>
            <w:tcBorders>
              <w:top w:val="single" w:sz="8" w:color="auto"/>
            </w:tcBorders>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Borders>
              <w:top w:val="single" w:sz="8" w:color="auto"/>
            </w:tcBorders>
            <w:gridSpan w:val="2"/>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80" w:type="dxa"/>
            <w:vAlign w:val="bottom"/>
            <w:tcBorders>
              <w:top w:val="single" w:sz="8" w:color="auto"/>
            </w:tcBorders>
            <w:gridSpan w:val="2"/>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120" w:type="dxa"/>
            <w:vAlign w:val="bottom"/>
          </w:tcPr>
          <w:p>
            <w:pPr>
              <w:spacing w:after="0"/>
              <w:rPr>
                <w:sz w:val="20"/>
                <w:szCs w:val="20"/>
                <w:color w:val="auto"/>
              </w:rPr>
            </w:pPr>
          </w:p>
        </w:tc>
        <w:tc>
          <w:tcPr>
            <w:tcW w:w="2820" w:type="dxa"/>
            <w:vAlign w:val="bottom"/>
          </w:tcPr>
          <w:p>
            <w:pPr>
              <w:jc w:val="center"/>
              <w:ind w:left="227"/>
              <w:spacing w:after="0"/>
              <w:rPr>
                <w:sz w:val="20"/>
                <w:szCs w:val="20"/>
                <w:color w:val="auto"/>
              </w:rPr>
            </w:pPr>
            <w:r>
              <w:rPr>
                <w:rFonts w:ascii="Times New Roman" w:cs="Times New Roman" w:eastAsia="Times New Roman" w:hAnsi="Times New Roman"/>
                <w:sz w:val="18"/>
                <w:szCs w:val="18"/>
                <w:color w:val="auto"/>
                <w:w w:val="99"/>
              </w:rPr>
              <w:t>incorporation)</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4"/>
        </w:trPr>
        <w:tc>
          <w:tcPr>
            <w:tcW w:w="120" w:type="dxa"/>
            <w:vAlign w:val="bottom"/>
          </w:tcPr>
          <w:p>
            <w:pPr>
              <w:spacing w:after="0"/>
              <w:rPr>
                <w:sz w:val="24"/>
                <w:szCs w:val="24"/>
                <w:color w:val="auto"/>
              </w:rPr>
            </w:pPr>
          </w:p>
        </w:tc>
        <w:tc>
          <w:tcPr>
            <w:tcW w:w="28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301 Commerce Street,</w:t>
            </w: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Suite 1700,</w:t>
            </w: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Fort Worth,</w:t>
            </w:r>
          </w:p>
        </w:tc>
        <w:tc>
          <w:tcPr>
            <w:tcW w:w="220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Texas</w:t>
            </w:r>
          </w:p>
        </w:tc>
        <w:tc>
          <w:tcPr>
            <w:tcW w:w="2860" w:type="dxa"/>
            <w:vAlign w:val="bottom"/>
          </w:tcPr>
          <w:p>
            <w:pPr>
              <w:jc w:val="right"/>
              <w:ind w:right="1485"/>
              <w:spacing w:after="0"/>
              <w:rPr>
                <w:sz w:val="20"/>
                <w:szCs w:val="20"/>
                <w:color w:val="auto"/>
              </w:rPr>
            </w:pPr>
            <w:r>
              <w:rPr>
                <w:rFonts w:ascii="Times New Roman" w:cs="Times New Roman" w:eastAsia="Times New Roman" w:hAnsi="Times New Roman"/>
                <w:sz w:val="20"/>
                <w:szCs w:val="20"/>
                <w:color w:val="auto"/>
              </w:rPr>
              <w:t>76102</w:t>
            </w:r>
          </w:p>
        </w:tc>
        <w:tc>
          <w:tcPr>
            <w:tcW w:w="20" w:type="dxa"/>
            <w:vAlign w:val="bottom"/>
          </w:tcPr>
          <w:p>
            <w:pPr>
              <w:spacing w:after="0"/>
              <w:rPr>
                <w:sz w:val="24"/>
                <w:szCs w:val="24"/>
                <w:color w:val="auto"/>
              </w:rPr>
            </w:pPr>
          </w:p>
        </w:tc>
      </w:tr>
      <w:tr>
        <w:trPr>
          <w:trHeight w:val="232"/>
        </w:trPr>
        <w:tc>
          <w:tcPr>
            <w:tcW w:w="120" w:type="dxa"/>
            <w:vAlign w:val="bottom"/>
            <w:tcBorders>
              <w:top w:val="single" w:sz="8" w:color="auto"/>
            </w:tcBorders>
          </w:tcPr>
          <w:p>
            <w:pPr>
              <w:spacing w:after="0"/>
              <w:rPr>
                <w:sz w:val="20"/>
                <w:szCs w:val="20"/>
                <w:color w:val="auto"/>
              </w:rPr>
            </w:pPr>
          </w:p>
        </w:tc>
        <w:tc>
          <w:tcPr>
            <w:tcW w:w="5920" w:type="dxa"/>
            <w:vAlign w:val="bottom"/>
            <w:tcBorders>
              <w:top w:val="single" w:sz="8" w:color="auto"/>
            </w:tcBorders>
            <w:gridSpan w:val="5"/>
          </w:tcPr>
          <w:p>
            <w:pPr>
              <w:jc w:val="center"/>
              <w:ind w:left="1007"/>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7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860" w:type="dxa"/>
            <w:vAlign w:val="bottom"/>
            <w:tcBorders>
              <w:top w:val="single" w:sz="8" w:color="auto"/>
            </w:tcBorders>
          </w:tcPr>
          <w:p>
            <w:pPr>
              <w:jc w:val="center"/>
              <w:ind w:right="705"/>
              <w:spacing w:after="0"/>
              <w:rPr>
                <w:sz w:val="20"/>
                <w:szCs w:val="20"/>
                <w:color w:val="auto"/>
              </w:rPr>
            </w:pPr>
            <w:r>
              <w:rPr>
                <w:rFonts w:ascii="Times New Roman" w:cs="Times New Roman" w:eastAsia="Times New Roman" w:hAnsi="Times New Roman"/>
                <w:sz w:val="18"/>
                <w:szCs w:val="18"/>
                <w:color w:val="auto"/>
                <w:w w:val="98"/>
              </w:rPr>
              <w:t>(Zip Code)</w:t>
            </w:r>
          </w:p>
        </w:tc>
        <w:tc>
          <w:tcPr>
            <w:tcW w:w="20" w:type="dxa"/>
            <w:vAlign w:val="bottom"/>
          </w:tcPr>
          <w:p>
            <w:pPr>
              <w:spacing w:after="0"/>
              <w:rPr>
                <w:sz w:val="20"/>
                <w:szCs w:val="20"/>
                <w:color w:val="auto"/>
              </w:rPr>
            </w:pPr>
          </w:p>
        </w:tc>
      </w:tr>
      <w:tr>
        <w:trPr>
          <w:trHeight w:val="508"/>
        </w:trPr>
        <w:tc>
          <w:tcPr>
            <w:tcW w:w="120" w:type="dxa"/>
            <w:vAlign w:val="bottom"/>
          </w:tcPr>
          <w:p>
            <w:pPr>
              <w:spacing w:after="0"/>
              <w:rPr>
                <w:sz w:val="24"/>
                <w:szCs w:val="24"/>
                <w:color w:val="auto"/>
              </w:rPr>
            </w:pPr>
          </w:p>
        </w:tc>
        <w:tc>
          <w:tcPr>
            <w:tcW w:w="5920" w:type="dxa"/>
            <w:vAlign w:val="bottom"/>
            <w:gridSpan w:val="5"/>
          </w:tcPr>
          <w:p>
            <w:pPr>
              <w:jc w:val="center"/>
              <w:ind w:left="987"/>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60" w:type="dxa"/>
            <w:vAlign w:val="bottom"/>
          </w:tcPr>
          <w:p>
            <w:pPr>
              <w:jc w:val="right"/>
              <w:ind w:right="965"/>
              <w:spacing w:after="0"/>
              <w:rPr>
                <w:sz w:val="20"/>
                <w:szCs w:val="20"/>
                <w:color w:val="auto"/>
              </w:rPr>
            </w:pPr>
            <w:r>
              <w:rPr>
                <w:rFonts w:ascii="Times New Roman" w:cs="Times New Roman" w:eastAsia="Times New Roman" w:hAnsi="Times New Roman"/>
                <w:sz w:val="20"/>
                <w:szCs w:val="20"/>
                <w:color w:val="auto"/>
              </w:rPr>
              <w:t>(888) 611-9888</w:t>
            </w:r>
          </w:p>
        </w:tc>
        <w:tc>
          <w:tcPr>
            <w:tcW w:w="20" w:type="dxa"/>
            <w:vAlign w:val="bottom"/>
          </w:tcPr>
          <w:p>
            <w:pPr>
              <w:spacing w:after="0"/>
              <w:rPr>
                <w:sz w:val="24"/>
                <w:szCs w:val="24"/>
                <w:color w:val="auto"/>
              </w:rPr>
            </w:pPr>
          </w:p>
        </w:tc>
      </w:tr>
    </w:tbl>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1367790</wp:posOffset>
            </wp:positionH>
            <wp:positionV relativeFrom="paragraph">
              <wp:posOffset>22860</wp:posOffset>
            </wp:positionV>
            <wp:extent cx="44062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3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pacing w:after="0" w:line="5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Trading Symbol</w:t>
            </w: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69"/>
        </w:trPr>
        <w:tc>
          <w:tcPr>
            <w:tcW w:w="3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43"/>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$1.00 par value</w:t>
            </w: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DSGR</w:t>
            </w: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31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ind w:left="90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Item 5.07 Submission of Matters to a Vote of Security Holders.</w:t>
      </w:r>
    </w:p>
    <w:p>
      <w:pPr>
        <w:spacing w:after="0" w:line="251" w:lineRule="exact"/>
        <w:rPr>
          <w:sz w:val="20"/>
          <w:szCs w:val="20"/>
          <w:color w:val="auto"/>
        </w:rPr>
      </w:pPr>
    </w:p>
    <w:p>
      <w:pPr>
        <w:jc w:val="both"/>
        <w:ind w:firstLine="8"/>
        <w:spacing w:after="0" w:line="263" w:lineRule="auto"/>
        <w:tabs>
          <w:tab w:leader="none" w:pos="313"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May 14, 2026, Distribution Solutions Group, Inc. (the “Company”) held its 2026 Annual Meeting of Stockholders (the “Annual Meeting”). There were 46,192,457 shares of common stock entitled to be voted, of which 42,836,503 shares or 92.7% were represented in person or by proxy at the Annual Meeting.</w:t>
      </w:r>
    </w:p>
    <w:p>
      <w:pPr>
        <w:spacing w:after="0" w:line="194" w:lineRule="exact"/>
        <w:rPr>
          <w:rFonts w:ascii="Times New Roman" w:cs="Times New Roman" w:eastAsia="Times New Roman" w:hAnsi="Times New Roman"/>
          <w:sz w:val="22"/>
          <w:szCs w:val="22"/>
          <w:color w:val="auto"/>
        </w:rPr>
      </w:pPr>
    </w:p>
    <w:p>
      <w:pPr>
        <w:jc w:val="both"/>
        <w:ind w:firstLine="8"/>
        <w:spacing w:after="0" w:line="257" w:lineRule="auto"/>
        <w:tabs>
          <w:tab w:leader="none" w:pos="312"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stockholders voted on four proposals at the Annual Meeting, each of which is described in more detail in the Company’s definitive proxy statement filed with the Securities and Exchange Commission on April 1, 2026, and the final results of voting for each matter submitted to a vote of stockholders at the Annual Meeting are set forth below.</w:t>
      </w:r>
    </w:p>
    <w:p>
      <w:pPr>
        <w:spacing w:after="0" w:line="200" w:lineRule="exact"/>
        <w:rPr>
          <w:sz w:val="20"/>
          <w:szCs w:val="20"/>
          <w:color w:val="auto"/>
        </w:rPr>
      </w:pPr>
    </w:p>
    <w:p>
      <w:pPr>
        <w:ind w:right="20" w:firstLine="8"/>
        <w:spacing w:after="0" w:line="284" w:lineRule="auto"/>
        <w:tabs>
          <w:tab w:leader="none" w:pos="277"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Proposal One: The following directors were elected to the Company’s Board of Directors (the “Board”), and the voting for each director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Nominee</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9"/>
              </w:rPr>
              <w:t>For</w:t>
            </w:r>
          </w:p>
        </w:tc>
        <w:tc>
          <w:tcPr>
            <w:tcW w:w="3700" w:type="dxa"/>
            <w:vAlign w:val="bottom"/>
          </w:tcPr>
          <w:p>
            <w:pPr>
              <w:ind w:left="1420"/>
              <w:spacing w:after="0"/>
              <w:rPr>
                <w:sz w:val="20"/>
                <w:szCs w:val="20"/>
                <w:color w:val="auto"/>
              </w:rPr>
            </w:pPr>
            <w:r>
              <w:rPr>
                <w:rFonts w:ascii="Times New Roman" w:cs="Times New Roman" w:eastAsia="Times New Roman" w:hAnsi="Times New Roman"/>
                <w:sz w:val="22"/>
                <w:szCs w:val="22"/>
                <w:b w:val="1"/>
                <w:bCs w:val="1"/>
                <w:color w:val="auto"/>
              </w:rPr>
              <w:t>Withheld</w:t>
            </w:r>
          </w:p>
        </w:tc>
      </w:tr>
      <w:tr>
        <w:trPr>
          <w:trHeight w:val="264"/>
        </w:trPr>
        <w:tc>
          <w:tcPr>
            <w:tcW w:w="3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I. Steven Edelson</w:t>
            </w:r>
          </w:p>
        </w:tc>
        <w:tc>
          <w:tcPr>
            <w:tcW w:w="100" w:type="dxa"/>
            <w:vAlign w:val="bottom"/>
            <w:tcBorders>
              <w:top w:val="single" w:sz="8" w:color="CCEEFF"/>
            </w:tcBorders>
            <w:shd w:val="clear" w:color="auto" w:fill="CCEEFF"/>
          </w:tcPr>
          <w:p>
            <w:pPr>
              <w:spacing w:after="0"/>
              <w:rPr>
                <w:sz w:val="22"/>
                <w:szCs w:val="22"/>
                <w:color w:val="auto"/>
              </w:rPr>
            </w:pPr>
          </w:p>
        </w:tc>
        <w:tc>
          <w:tcPr>
            <w:tcW w:w="3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6"/>
              </w:rPr>
              <w:t>40,228,469</w:t>
            </w:r>
          </w:p>
        </w:tc>
        <w:tc>
          <w:tcPr>
            <w:tcW w:w="80" w:type="dxa"/>
            <w:vAlign w:val="bottom"/>
            <w:tcBorders>
              <w:top w:val="single" w:sz="8" w:color="CCEEFF"/>
            </w:tcBorders>
            <w:shd w:val="clear" w:color="auto" w:fill="CCEEFF"/>
          </w:tcPr>
          <w:p>
            <w:pPr>
              <w:spacing w:after="0"/>
              <w:rPr>
                <w:sz w:val="22"/>
                <w:szCs w:val="22"/>
                <w:color w:val="auto"/>
              </w:rPr>
            </w:pPr>
          </w:p>
        </w:tc>
        <w:tc>
          <w:tcPr>
            <w:tcW w:w="3700" w:type="dxa"/>
            <w:vAlign w:val="bottom"/>
            <w:tcBorders>
              <w:top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22"/>
                <w:szCs w:val="22"/>
                <w:color w:val="auto"/>
              </w:rPr>
              <w:t>2,608,034</w:t>
            </w:r>
          </w:p>
        </w:tc>
      </w:tr>
      <w:tr>
        <w:trPr>
          <w:trHeight w:val="27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Lee S. Hillman</w:t>
            </w:r>
          </w:p>
        </w:tc>
        <w:tc>
          <w:tcPr>
            <w:tcW w:w="36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40,254,781</w:t>
            </w:r>
          </w:p>
        </w:tc>
        <w:tc>
          <w:tcPr>
            <w:tcW w:w="80" w:type="dxa"/>
            <w:vAlign w:val="bottom"/>
          </w:tcPr>
          <w:p>
            <w:pPr>
              <w:spacing w:after="0"/>
              <w:rPr>
                <w:sz w:val="23"/>
                <w:szCs w:val="23"/>
                <w:color w:val="auto"/>
              </w:rPr>
            </w:pPr>
          </w:p>
        </w:tc>
        <w:tc>
          <w:tcPr>
            <w:tcW w:w="370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2,581,722</w:t>
            </w:r>
          </w:p>
        </w:tc>
      </w:tr>
      <w:tr>
        <w:trPr>
          <w:trHeight w:val="270"/>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J. Bryan King</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6"/>
              </w:rPr>
              <w:t>39,915,665</w:t>
            </w:r>
          </w:p>
        </w:tc>
        <w:tc>
          <w:tcPr>
            <w:tcW w:w="80" w:type="dxa"/>
            <w:vAlign w:val="bottom"/>
            <w:shd w:val="clear" w:color="auto" w:fill="CCEEFF"/>
          </w:tcPr>
          <w:p>
            <w:pPr>
              <w:spacing w:after="0"/>
              <w:rPr>
                <w:sz w:val="23"/>
                <w:szCs w:val="23"/>
                <w:color w:val="auto"/>
              </w:rPr>
            </w:pPr>
          </w:p>
        </w:tc>
        <w:tc>
          <w:tcPr>
            <w:tcW w:w="370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22"/>
                <w:szCs w:val="22"/>
                <w:color w:val="auto"/>
              </w:rPr>
              <w:t>2,920,838</w:t>
            </w:r>
          </w:p>
        </w:tc>
      </w:tr>
      <w:tr>
        <w:trPr>
          <w:trHeight w:val="27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Mark F. Moon</w:t>
            </w:r>
          </w:p>
        </w:tc>
        <w:tc>
          <w:tcPr>
            <w:tcW w:w="36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38,681,260</w:t>
            </w:r>
          </w:p>
        </w:tc>
        <w:tc>
          <w:tcPr>
            <w:tcW w:w="80" w:type="dxa"/>
            <w:vAlign w:val="bottom"/>
          </w:tcPr>
          <w:p>
            <w:pPr>
              <w:spacing w:after="0"/>
              <w:rPr>
                <w:sz w:val="23"/>
                <w:szCs w:val="23"/>
                <w:color w:val="auto"/>
              </w:rPr>
            </w:pPr>
          </w:p>
        </w:tc>
        <w:tc>
          <w:tcPr>
            <w:tcW w:w="370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4,155,243</w:t>
            </w:r>
          </w:p>
        </w:tc>
      </w:tr>
      <w:tr>
        <w:trPr>
          <w:trHeight w:val="270"/>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Bianca A. Rhodes</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6"/>
              </w:rPr>
              <w:t>39,880,426</w:t>
            </w:r>
          </w:p>
        </w:tc>
        <w:tc>
          <w:tcPr>
            <w:tcW w:w="80" w:type="dxa"/>
            <w:vAlign w:val="bottom"/>
            <w:shd w:val="clear" w:color="auto" w:fill="CCEEFF"/>
          </w:tcPr>
          <w:p>
            <w:pPr>
              <w:spacing w:after="0"/>
              <w:rPr>
                <w:sz w:val="23"/>
                <w:szCs w:val="23"/>
                <w:color w:val="auto"/>
              </w:rPr>
            </w:pPr>
          </w:p>
        </w:tc>
        <w:tc>
          <w:tcPr>
            <w:tcW w:w="370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22"/>
                <w:szCs w:val="22"/>
                <w:color w:val="auto"/>
              </w:rPr>
              <w:t>2,956,077</w:t>
            </w:r>
          </w:p>
        </w:tc>
      </w:tr>
      <w:tr>
        <w:trPr>
          <w:trHeight w:val="27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M. Bradley Wallace</w:t>
            </w:r>
          </w:p>
        </w:tc>
        <w:tc>
          <w:tcPr>
            <w:tcW w:w="36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39,676,651</w:t>
            </w:r>
          </w:p>
        </w:tc>
        <w:tc>
          <w:tcPr>
            <w:tcW w:w="80" w:type="dxa"/>
            <w:vAlign w:val="bottom"/>
          </w:tcPr>
          <w:p>
            <w:pPr>
              <w:spacing w:after="0"/>
              <w:rPr>
                <w:sz w:val="23"/>
                <w:szCs w:val="23"/>
                <w:color w:val="auto"/>
              </w:rPr>
            </w:pPr>
          </w:p>
        </w:tc>
        <w:tc>
          <w:tcPr>
            <w:tcW w:w="370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3,159,852</w:t>
            </w:r>
          </w:p>
        </w:tc>
      </w:tr>
      <w:tr>
        <w:trPr>
          <w:trHeight w:val="270"/>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Robert S. Zamarripa</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6"/>
              </w:rPr>
              <w:t>40,328,446</w:t>
            </w:r>
          </w:p>
        </w:tc>
        <w:tc>
          <w:tcPr>
            <w:tcW w:w="80" w:type="dxa"/>
            <w:vAlign w:val="bottom"/>
            <w:shd w:val="clear" w:color="auto" w:fill="CCEEFF"/>
          </w:tcPr>
          <w:p>
            <w:pPr>
              <w:spacing w:after="0"/>
              <w:rPr>
                <w:sz w:val="23"/>
                <w:szCs w:val="23"/>
                <w:color w:val="auto"/>
              </w:rPr>
            </w:pPr>
          </w:p>
        </w:tc>
        <w:tc>
          <w:tcPr>
            <w:tcW w:w="370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22"/>
                <w:szCs w:val="22"/>
                <w:color w:val="auto"/>
              </w:rPr>
              <w:t>2,508,057</w:t>
            </w:r>
          </w:p>
        </w:tc>
      </w:tr>
    </w:tbl>
    <w:p>
      <w:pPr>
        <w:spacing w:after="0" w:line="310" w:lineRule="exact"/>
        <w:rPr>
          <w:sz w:val="20"/>
          <w:szCs w:val="20"/>
          <w:color w:val="auto"/>
        </w:rPr>
      </w:pPr>
    </w:p>
    <w:p>
      <w:pPr>
        <w:ind w:right="40" w:firstLine="8"/>
        <w:spacing w:after="0" w:line="284" w:lineRule="auto"/>
        <w:tabs>
          <w:tab w:leader="none" w:pos="31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Proposal Two: Grant Thornton, LLP was ratified as the Company's independent registered public accounting firm for 2026 by the following vote: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22"/>
                <w:szCs w:val="22"/>
                <w:b w:val="1"/>
                <w:bCs w:val="1"/>
                <w:color w:val="auto"/>
                <w:w w:val="99"/>
              </w:rPr>
              <w:t>For</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6"/>
              </w:rPr>
              <w:t>Against</w:t>
            </w:r>
          </w:p>
        </w:tc>
        <w:tc>
          <w:tcPr>
            <w:tcW w:w="3680" w:type="dxa"/>
            <w:vAlign w:val="bottom"/>
          </w:tcPr>
          <w:p>
            <w:pPr>
              <w:ind w:left="1480"/>
              <w:spacing w:after="0"/>
              <w:rPr>
                <w:sz w:val="20"/>
                <w:szCs w:val="20"/>
                <w:color w:val="auto"/>
              </w:rPr>
            </w:pPr>
            <w:r>
              <w:rPr>
                <w:rFonts w:ascii="Times New Roman" w:cs="Times New Roman" w:eastAsia="Times New Roman" w:hAnsi="Times New Roman"/>
                <w:sz w:val="22"/>
                <w:szCs w:val="22"/>
                <w:b w:val="1"/>
                <w:bCs w:val="1"/>
                <w:color w:val="auto"/>
              </w:rPr>
              <w:t>Abstain</w:t>
            </w:r>
          </w:p>
        </w:tc>
      </w:tr>
      <w:tr>
        <w:trPr>
          <w:trHeight w:val="264"/>
        </w:trPr>
        <w:tc>
          <w:tcPr>
            <w:tcW w:w="3680" w:type="dxa"/>
            <w:vAlign w:val="bottom"/>
            <w:tcBorders>
              <w:top w:val="single" w:sz="8" w:color="auto"/>
            </w:tcBorders>
            <w:shd w:val="clear" w:color="auto" w:fill="CCEEFF"/>
          </w:tcPr>
          <w:p>
            <w:pPr>
              <w:jc w:val="right"/>
              <w:ind w:right="1232"/>
              <w:spacing w:after="0"/>
              <w:rPr>
                <w:sz w:val="20"/>
                <w:szCs w:val="20"/>
                <w:color w:val="auto"/>
              </w:rPr>
            </w:pPr>
            <w:r>
              <w:rPr>
                <w:rFonts w:ascii="Times New Roman" w:cs="Times New Roman" w:eastAsia="Times New Roman" w:hAnsi="Times New Roman"/>
                <w:sz w:val="22"/>
                <w:szCs w:val="22"/>
                <w:color w:val="auto"/>
              </w:rPr>
              <w:t>42,303,661</w:t>
            </w:r>
          </w:p>
        </w:tc>
        <w:tc>
          <w:tcPr>
            <w:tcW w:w="100" w:type="dxa"/>
            <w:vAlign w:val="bottom"/>
            <w:tcBorders>
              <w:top w:val="single" w:sz="8" w:color="CCEEFF"/>
            </w:tcBorders>
            <w:shd w:val="clear" w:color="auto" w:fill="CCEEFF"/>
          </w:tcPr>
          <w:p>
            <w:pPr>
              <w:spacing w:after="0"/>
              <w:rPr>
                <w:sz w:val="22"/>
                <w:szCs w:val="22"/>
                <w:color w:val="auto"/>
              </w:rPr>
            </w:pPr>
          </w:p>
        </w:tc>
        <w:tc>
          <w:tcPr>
            <w:tcW w:w="3660" w:type="dxa"/>
            <w:vAlign w:val="bottom"/>
            <w:tcBorders>
              <w:top w:val="single" w:sz="8" w:color="auto"/>
            </w:tcBorders>
            <w:shd w:val="clear" w:color="auto" w:fill="CCEEFF"/>
          </w:tcPr>
          <w:p>
            <w:pPr>
              <w:jc w:val="right"/>
              <w:ind w:right="1472"/>
              <w:spacing w:after="0"/>
              <w:rPr>
                <w:sz w:val="20"/>
                <w:szCs w:val="20"/>
                <w:color w:val="auto"/>
              </w:rPr>
            </w:pPr>
            <w:r>
              <w:rPr>
                <w:rFonts w:ascii="Times New Roman" w:cs="Times New Roman" w:eastAsia="Times New Roman" w:hAnsi="Times New Roman"/>
                <w:sz w:val="22"/>
                <w:szCs w:val="22"/>
                <w:color w:val="auto"/>
              </w:rPr>
              <w:t>8,823</w:t>
            </w:r>
          </w:p>
        </w:tc>
        <w:tc>
          <w:tcPr>
            <w:tcW w:w="100" w:type="dxa"/>
            <w:vAlign w:val="bottom"/>
            <w:tcBorders>
              <w:top w:val="single" w:sz="8" w:color="CCEEFF"/>
            </w:tcBorders>
            <w:shd w:val="clear" w:color="auto" w:fill="CCEEFF"/>
          </w:tcPr>
          <w:p>
            <w:pPr>
              <w:spacing w:after="0"/>
              <w:rPr>
                <w:sz w:val="22"/>
                <w:szCs w:val="22"/>
                <w:color w:val="auto"/>
              </w:rPr>
            </w:pPr>
          </w:p>
        </w:tc>
        <w:tc>
          <w:tcPr>
            <w:tcW w:w="3680" w:type="dxa"/>
            <w:vAlign w:val="bottom"/>
            <w:tcBorders>
              <w:top w:val="single" w:sz="8" w:color="auto"/>
            </w:tcBorders>
            <w:shd w:val="clear" w:color="auto" w:fill="CCEEFF"/>
          </w:tcPr>
          <w:p>
            <w:pPr>
              <w:ind w:left="1480"/>
              <w:spacing w:after="0"/>
              <w:rPr>
                <w:sz w:val="20"/>
                <w:szCs w:val="20"/>
                <w:color w:val="auto"/>
              </w:rPr>
            </w:pPr>
            <w:r>
              <w:rPr>
                <w:rFonts w:ascii="Times New Roman" w:cs="Times New Roman" w:eastAsia="Times New Roman" w:hAnsi="Times New Roman"/>
                <w:sz w:val="22"/>
                <w:szCs w:val="22"/>
                <w:color w:val="auto"/>
              </w:rPr>
              <w:t>524,019</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Proposal Three: The advisory, non-binding vote on executive compensation was approved by the following vote:</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780" w:type="dxa"/>
            <w:vAlign w:val="bottom"/>
            <w:gridSpan w:val="2"/>
          </w:tcPr>
          <w:p>
            <w:pPr>
              <w:jc w:val="center"/>
              <w:ind w:right="80"/>
              <w:spacing w:after="0"/>
              <w:rPr>
                <w:sz w:val="20"/>
                <w:szCs w:val="20"/>
                <w:color w:val="auto"/>
              </w:rPr>
            </w:pPr>
            <w:r>
              <w:rPr>
                <w:rFonts w:ascii="Times New Roman" w:cs="Times New Roman" w:eastAsia="Times New Roman" w:hAnsi="Times New Roman"/>
                <w:sz w:val="22"/>
                <w:szCs w:val="22"/>
                <w:b w:val="1"/>
                <w:bCs w:val="1"/>
                <w:color w:val="auto"/>
                <w:w w:val="99"/>
              </w:rPr>
              <w:t>For</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6"/>
              </w:rPr>
              <w:t>Against</w:t>
            </w:r>
          </w:p>
        </w:tc>
        <w:tc>
          <w:tcPr>
            <w:tcW w:w="2860" w:type="dxa"/>
            <w:vAlign w:val="bottom"/>
            <w:gridSpan w:val="2"/>
          </w:tcPr>
          <w:p>
            <w:pPr>
              <w:ind w:left="1020"/>
              <w:spacing w:after="0"/>
              <w:rPr>
                <w:sz w:val="20"/>
                <w:szCs w:val="20"/>
                <w:color w:val="auto"/>
              </w:rPr>
            </w:pPr>
            <w:r>
              <w:rPr>
                <w:rFonts w:ascii="Times New Roman" w:cs="Times New Roman" w:eastAsia="Times New Roman" w:hAnsi="Times New Roman"/>
                <w:sz w:val="22"/>
                <w:szCs w:val="22"/>
                <w:b w:val="1"/>
                <w:bCs w:val="1"/>
                <w:color w:val="auto"/>
              </w:rPr>
              <w:t>Abstain</w:t>
            </w:r>
          </w:p>
        </w:tc>
        <w:tc>
          <w:tcPr>
            <w:tcW w:w="27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Broker Non-Voters</w:t>
            </w:r>
          </w:p>
        </w:tc>
      </w:tr>
      <w:tr>
        <w:trPr>
          <w:trHeight w:val="264"/>
        </w:trPr>
        <w:tc>
          <w:tcPr>
            <w:tcW w:w="2680" w:type="dxa"/>
            <w:vAlign w:val="bottom"/>
            <w:tcBorders>
              <w:top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22"/>
                <w:szCs w:val="22"/>
                <w:color w:val="auto"/>
              </w:rPr>
              <w:t>39,679,024</w:t>
            </w:r>
          </w:p>
        </w:tc>
        <w:tc>
          <w:tcPr>
            <w:tcW w:w="100" w:type="dxa"/>
            <w:vAlign w:val="bottom"/>
            <w:tcBorders>
              <w:top w:val="single" w:sz="8" w:color="CCEEFF"/>
            </w:tcBorders>
            <w:shd w:val="clear" w:color="auto" w:fill="CCEEFF"/>
          </w:tcPr>
          <w:p>
            <w:pPr>
              <w:spacing w:after="0"/>
              <w:rPr>
                <w:sz w:val="22"/>
                <w:szCs w:val="22"/>
                <w:color w:val="auto"/>
              </w:rPr>
            </w:pPr>
          </w:p>
        </w:tc>
        <w:tc>
          <w:tcPr>
            <w:tcW w:w="2740" w:type="dxa"/>
            <w:vAlign w:val="bottom"/>
            <w:tcBorders>
              <w:top w:val="single" w:sz="8" w:color="auto"/>
            </w:tcBorders>
            <w:shd w:val="clear" w:color="auto" w:fill="CCEEFF"/>
          </w:tcPr>
          <w:p>
            <w:pPr>
              <w:jc w:val="right"/>
              <w:ind w:right="972"/>
              <w:spacing w:after="0"/>
              <w:rPr>
                <w:sz w:val="20"/>
                <w:szCs w:val="20"/>
                <w:color w:val="auto"/>
              </w:rPr>
            </w:pPr>
            <w:r>
              <w:rPr>
                <w:rFonts w:ascii="Times New Roman" w:cs="Times New Roman" w:eastAsia="Times New Roman" w:hAnsi="Times New Roman"/>
                <w:sz w:val="22"/>
                <w:szCs w:val="22"/>
                <w:color w:val="auto"/>
              </w:rPr>
              <w:t>52,608</w:t>
            </w:r>
          </w:p>
        </w:tc>
        <w:tc>
          <w:tcPr>
            <w:tcW w:w="100" w:type="dxa"/>
            <w:vAlign w:val="bottom"/>
            <w:tcBorders>
              <w:top w:val="single" w:sz="8" w:color="CCEEFF"/>
            </w:tcBorders>
            <w:shd w:val="clear" w:color="auto" w:fill="CCEEFF"/>
          </w:tcPr>
          <w:p>
            <w:pPr>
              <w:spacing w:after="0"/>
              <w:rPr>
                <w:sz w:val="22"/>
                <w:szCs w:val="22"/>
                <w:color w:val="auto"/>
              </w:rPr>
            </w:pPr>
          </w:p>
        </w:tc>
        <w:tc>
          <w:tcPr>
            <w:tcW w:w="276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22"/>
                <w:szCs w:val="22"/>
                <w:color w:val="auto"/>
              </w:rPr>
              <w:t>737,975</w:t>
            </w:r>
          </w:p>
        </w:tc>
        <w:tc>
          <w:tcPr>
            <w:tcW w:w="100" w:type="dxa"/>
            <w:vAlign w:val="bottom"/>
            <w:tcBorders>
              <w:top w:val="single" w:sz="8" w:color="CCEEFF"/>
            </w:tcBorders>
            <w:shd w:val="clear" w:color="auto" w:fill="CCEEFF"/>
          </w:tcPr>
          <w:p>
            <w:pPr>
              <w:spacing w:after="0"/>
              <w:rPr>
                <w:sz w:val="22"/>
                <w:szCs w:val="22"/>
                <w:color w:val="auto"/>
              </w:rPr>
            </w:pPr>
          </w:p>
        </w:tc>
        <w:tc>
          <w:tcPr>
            <w:tcW w:w="2760" w:type="dxa"/>
            <w:vAlign w:val="bottom"/>
            <w:tcBorders>
              <w:top w:val="single" w:sz="8" w:color="auto"/>
            </w:tcBorders>
            <w:shd w:val="clear" w:color="auto" w:fill="CCEEFF"/>
          </w:tcPr>
          <w:p>
            <w:pPr>
              <w:jc w:val="right"/>
              <w:ind w:right="852"/>
              <w:spacing w:after="0"/>
              <w:rPr>
                <w:sz w:val="20"/>
                <w:szCs w:val="20"/>
                <w:color w:val="auto"/>
              </w:rPr>
            </w:pPr>
            <w:r>
              <w:rPr>
                <w:rFonts w:ascii="Times New Roman" w:cs="Times New Roman" w:eastAsia="Times New Roman" w:hAnsi="Times New Roman"/>
                <w:sz w:val="22"/>
                <w:szCs w:val="22"/>
                <w:color w:val="auto"/>
              </w:rPr>
              <w:t>2,366,896</w:t>
            </w:r>
          </w:p>
        </w:tc>
      </w:tr>
    </w:tbl>
    <w:p>
      <w:pPr>
        <w:spacing w:after="0" w:line="310" w:lineRule="exact"/>
        <w:rPr>
          <w:sz w:val="20"/>
          <w:szCs w:val="20"/>
          <w:color w:val="auto"/>
        </w:rPr>
      </w:pPr>
    </w:p>
    <w:p>
      <w:pPr>
        <w:ind w:right="20" w:firstLine="8"/>
        <w:spacing w:after="0" w:line="271" w:lineRule="auto"/>
        <w:tabs>
          <w:tab w:leader="none" w:pos="36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Proposal Four: Distribution Solutions Group, Inc.'s Amended and Restated 2026 Equity Compensation Plan was approved by the following vote: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780" w:type="dxa"/>
            <w:vAlign w:val="bottom"/>
            <w:gridSpan w:val="2"/>
          </w:tcPr>
          <w:p>
            <w:pPr>
              <w:jc w:val="center"/>
              <w:ind w:right="80"/>
              <w:spacing w:after="0"/>
              <w:rPr>
                <w:sz w:val="20"/>
                <w:szCs w:val="20"/>
                <w:color w:val="auto"/>
              </w:rPr>
            </w:pPr>
            <w:r>
              <w:rPr>
                <w:rFonts w:ascii="Times New Roman" w:cs="Times New Roman" w:eastAsia="Times New Roman" w:hAnsi="Times New Roman"/>
                <w:sz w:val="22"/>
                <w:szCs w:val="22"/>
                <w:b w:val="1"/>
                <w:bCs w:val="1"/>
                <w:color w:val="auto"/>
                <w:w w:val="99"/>
              </w:rPr>
              <w:t>For</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6"/>
              </w:rPr>
              <w:t>Against</w:t>
            </w:r>
          </w:p>
        </w:tc>
        <w:tc>
          <w:tcPr>
            <w:tcW w:w="286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8"/>
              </w:rPr>
              <w:t>Abstain</w:t>
            </w:r>
          </w:p>
        </w:tc>
        <w:tc>
          <w:tcPr>
            <w:tcW w:w="27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Broker Non-Voters</w:t>
            </w:r>
          </w:p>
        </w:tc>
      </w:tr>
      <w:tr>
        <w:trPr>
          <w:trHeight w:val="264"/>
        </w:trPr>
        <w:tc>
          <w:tcPr>
            <w:tcW w:w="2680" w:type="dxa"/>
            <w:vAlign w:val="bottom"/>
            <w:tcBorders>
              <w:top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22"/>
                <w:szCs w:val="22"/>
                <w:color w:val="auto"/>
              </w:rPr>
              <w:t>37,583,712</w:t>
            </w:r>
          </w:p>
        </w:tc>
        <w:tc>
          <w:tcPr>
            <w:tcW w:w="100" w:type="dxa"/>
            <w:vAlign w:val="bottom"/>
            <w:tcBorders>
              <w:top w:val="single" w:sz="8" w:color="CCEEFF"/>
            </w:tcBorders>
            <w:shd w:val="clear" w:color="auto" w:fill="CCEEFF"/>
          </w:tcPr>
          <w:p>
            <w:pPr>
              <w:spacing w:after="0"/>
              <w:rPr>
                <w:sz w:val="22"/>
                <w:szCs w:val="22"/>
                <w:color w:val="auto"/>
              </w:rPr>
            </w:pPr>
          </w:p>
        </w:tc>
        <w:tc>
          <w:tcPr>
            <w:tcW w:w="2740" w:type="dxa"/>
            <w:vAlign w:val="bottom"/>
            <w:tcBorders>
              <w:top w:val="single" w:sz="8" w:color="auto"/>
            </w:tcBorders>
            <w:shd w:val="clear" w:color="auto" w:fill="CCEEFF"/>
          </w:tcPr>
          <w:p>
            <w:pPr>
              <w:jc w:val="right"/>
              <w:ind w:right="832"/>
              <w:spacing w:after="0"/>
              <w:rPr>
                <w:sz w:val="20"/>
                <w:szCs w:val="20"/>
                <w:color w:val="auto"/>
              </w:rPr>
            </w:pPr>
            <w:r>
              <w:rPr>
                <w:rFonts w:ascii="Times New Roman" w:cs="Times New Roman" w:eastAsia="Times New Roman" w:hAnsi="Times New Roman"/>
                <w:sz w:val="22"/>
                <w:szCs w:val="22"/>
                <w:color w:val="auto"/>
              </w:rPr>
              <w:t>1,633,976</w:t>
            </w:r>
          </w:p>
        </w:tc>
        <w:tc>
          <w:tcPr>
            <w:tcW w:w="100" w:type="dxa"/>
            <w:vAlign w:val="bottom"/>
            <w:tcBorders>
              <w:top w:val="single" w:sz="8" w:color="CCEEFF"/>
            </w:tcBorders>
            <w:shd w:val="clear" w:color="auto" w:fill="CCEEFF"/>
          </w:tcPr>
          <w:p>
            <w:pPr>
              <w:spacing w:after="0"/>
              <w:rPr>
                <w:sz w:val="22"/>
                <w:szCs w:val="22"/>
                <w:color w:val="auto"/>
              </w:rPr>
            </w:pPr>
          </w:p>
        </w:tc>
        <w:tc>
          <w:tcPr>
            <w:tcW w:w="2760" w:type="dxa"/>
            <w:vAlign w:val="bottom"/>
            <w:tcBorders>
              <w:top w:val="single" w:sz="8" w:color="auto"/>
            </w:tcBorders>
            <w:shd w:val="clear" w:color="auto" w:fill="CCEEFF"/>
          </w:tcPr>
          <w:p>
            <w:pPr>
              <w:jc w:val="right"/>
              <w:ind w:right="832"/>
              <w:spacing w:after="0"/>
              <w:rPr>
                <w:sz w:val="20"/>
                <w:szCs w:val="20"/>
                <w:color w:val="auto"/>
              </w:rPr>
            </w:pPr>
            <w:r>
              <w:rPr>
                <w:rFonts w:ascii="Times New Roman" w:cs="Times New Roman" w:eastAsia="Times New Roman" w:hAnsi="Times New Roman"/>
                <w:sz w:val="22"/>
                <w:szCs w:val="22"/>
                <w:color w:val="auto"/>
              </w:rPr>
              <w:t>1,251,919</w:t>
            </w:r>
          </w:p>
        </w:tc>
        <w:tc>
          <w:tcPr>
            <w:tcW w:w="100" w:type="dxa"/>
            <w:vAlign w:val="bottom"/>
            <w:tcBorders>
              <w:top w:val="single" w:sz="8" w:color="CCEEFF"/>
            </w:tcBorders>
            <w:shd w:val="clear" w:color="auto" w:fill="CCEEFF"/>
          </w:tcPr>
          <w:p>
            <w:pPr>
              <w:spacing w:after="0"/>
              <w:rPr>
                <w:sz w:val="22"/>
                <w:szCs w:val="22"/>
                <w:color w:val="auto"/>
              </w:rPr>
            </w:pPr>
          </w:p>
        </w:tc>
        <w:tc>
          <w:tcPr>
            <w:tcW w:w="2760" w:type="dxa"/>
            <w:vAlign w:val="bottom"/>
            <w:tcBorders>
              <w:top w:val="single" w:sz="8" w:color="auto"/>
            </w:tcBorders>
            <w:shd w:val="clear" w:color="auto" w:fill="CCEEFF"/>
          </w:tcPr>
          <w:p>
            <w:pPr>
              <w:jc w:val="right"/>
              <w:ind w:right="852"/>
              <w:spacing w:after="0"/>
              <w:rPr>
                <w:sz w:val="20"/>
                <w:szCs w:val="20"/>
                <w:color w:val="auto"/>
              </w:rPr>
            </w:pPr>
            <w:r>
              <w:rPr>
                <w:rFonts w:ascii="Times New Roman" w:cs="Times New Roman" w:eastAsia="Times New Roman" w:hAnsi="Times New Roman"/>
                <w:sz w:val="22"/>
                <w:szCs w:val="22"/>
                <w:color w:val="auto"/>
              </w:rPr>
              <w:t>2,366,896</w:t>
            </w:r>
          </w:p>
        </w:tc>
      </w:tr>
      <w:tr>
        <w:trPr>
          <w:trHeight w:val="1937"/>
        </w:trPr>
        <w:tc>
          <w:tcPr>
            <w:tcW w:w="2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98"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and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b w:val="1"/>
          <w:bCs w:val="1"/>
          <w:color w:val="auto"/>
        </w:rPr>
        <w:t>DISTRIBUTION SOLUTIONS GROUP, INC.</w:t>
      </w:r>
    </w:p>
    <w:p>
      <w:pPr>
        <w:spacing w:after="0" w:line="20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00"/>
        <w:spacing w:after="0"/>
        <w:tabs>
          <w:tab w:leader="none" w:pos="5140" w:val="left"/>
        </w:tabs>
        <w:rPr>
          <w:sz w:val="20"/>
          <w:szCs w:val="20"/>
          <w:color w:val="auto"/>
        </w:rPr>
      </w:pPr>
      <w:r>
        <w:rPr>
          <w:rFonts w:ascii="Times New Roman" w:cs="Times New Roman" w:eastAsia="Times New Roman" w:hAnsi="Times New Roman"/>
          <w:sz w:val="20"/>
          <w:szCs w:val="20"/>
          <w:color w:val="auto"/>
        </w:rPr>
        <w:t>Date: May 14, 2026</w:t>
      </w:r>
      <w:r>
        <w:rPr>
          <w:sz w:val="20"/>
          <w:szCs w:val="20"/>
          <w:color w:val="auto"/>
        </w:rPr>
        <w:tab/>
      </w:r>
      <w:r>
        <w:rPr>
          <w:rFonts w:ascii="Times New Roman" w:cs="Times New Roman" w:eastAsia="Times New Roman" w:hAnsi="Times New Roman"/>
          <w:sz w:val="19"/>
          <w:szCs w:val="19"/>
          <w:color w:val="auto"/>
        </w:rPr>
        <w:t>By: /s/ Richard D. Pufpaf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3463925</wp:posOffset>
            </wp:positionH>
            <wp:positionV relativeFrom="paragraph">
              <wp:posOffset>-2540</wp:posOffset>
            </wp:positionV>
            <wp:extent cx="10991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9185" cy="8255"/>
                    </a:xfrm>
                    <a:prstGeom prst="rect">
                      <a:avLst/>
                    </a:prstGeom>
                    <a:noFill/>
                  </pic:spPr>
                </pic:pic>
              </a:graphicData>
            </a:graphic>
          </wp:anchor>
        </w:drawing>
      </w:r>
    </w:p>
    <w:p>
      <w:pPr>
        <w:spacing w:after="0" w:line="19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Name: Richard D. Pufpaf</w:t>
      </w:r>
    </w:p>
    <w:p>
      <w:pPr>
        <w:spacing w:after="0" w:line="18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Title: Senior Vice President, Secretary, General Counsel and Chief</w:t>
      </w:r>
    </w:p>
    <w:p>
      <w:pPr>
        <w:ind w:left="5660"/>
        <w:spacing w:after="0"/>
        <w:rPr>
          <w:sz w:val="20"/>
          <w:szCs w:val="20"/>
          <w:color w:val="auto"/>
        </w:rPr>
      </w:pPr>
      <w:r>
        <w:rPr>
          <w:rFonts w:ascii="Times New Roman" w:cs="Times New Roman" w:eastAsia="Times New Roman" w:hAnsi="Times New Roman"/>
          <w:sz w:val="20"/>
          <w:szCs w:val="20"/>
          <w:color w:val="auto"/>
        </w:rPr>
        <w:t>Compliance Officer</w:t>
      </w:r>
    </w:p>
    <w:sectPr>
      <w:pgSz w:w="11900" w:h="16838" w:orient="portrait"/>
      <w:cols w:equalWidth="0" w:num="1">
        <w:col w:w="11100"/>
      </w:cols>
      <w:pgMar w:left="320" w:top="122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Roman"/>
      <w:start w:val="1"/>
    </w:lvl>
  </w:abstractNum>
  <w:abstractNum w:abstractNumId="3">
    <w:nsid w:val="238E1F29"/>
    <w:multiLevelType w:val="hybridMultilevel"/>
    <w:lvl w:ilvl="0">
      <w:lvlJc w:val="left"/>
      <w:lvlText w:val="(%1)"/>
      <w:numFmt w:val="lowerRoman"/>
      <w:start w:val="2"/>
    </w:lvl>
  </w:abstractNum>
  <w:abstractNum w:abstractNumId="4">
    <w:nsid w:val="46E87CCD"/>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2026-05-14T12:23:57Z</dcterms:created>
  <dcterms:modified xsi:type="dcterms:W3CDTF">2026-05-14T12:23:57Z</dcterms:modified>
</cp:coreProperties>
</file>