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2705d8k.htm"/>
      <w:bookmarkStart w:id="1" w:name="ksd17270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12,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DISTRIBUTION SOLUTIONS GROUP,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0-10546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36-2229304</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6625" w:type="dxa"/>
        <w:jc w:val="left"/>
        <w:tblInd w:w="0" w:type="dxa"/>
        <w:tblLayout w:type="fixed"/>
        <w:tblCellMar>
          <w:top w:w="0" w:type="dxa"/>
          <w:left w:w="0" w:type="dxa"/>
          <w:bottom w:w="0" w:type="dxa"/>
          <w:right w:w="0" w:type="dxa"/>
        </w:tblCellMar>
      </w:tblPr>
      <w:tblGrid>
        <w:gridCol w:w="5420"/>
        <w:gridCol w:w="60"/>
        <w:gridCol w:w="1145"/>
      </w:tblGrid>
      <w:tr>
        <w:trPr/>
        <w:tc>
          <w:tcPr>
            <w:tcW w:w="5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5420" w:type="dxa"/>
            <w:tcBorders/>
            <w:vAlign w:val="center"/>
          </w:tcPr>
          <w:p>
            <w:pPr>
              <w:pStyle w:val="TableContents"/>
              <w:bidi w:val="0"/>
              <w:spacing w:before="0" w:after="283"/>
              <w:jc w:val="center"/>
              <w:rPr>
                <w:b/>
              </w:rPr>
            </w:pPr>
            <w:r>
              <w:rPr>
                <w:b/>
              </w:rPr>
              <w:t>301 Commerce Street, Suite 1700, Fort Worth, Texas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76102</w:t>
            </w:r>
          </w:p>
        </w:tc>
      </w:tr>
      <w:tr>
        <w:trPr/>
        <w:tc>
          <w:tcPr>
            <w:tcW w:w="542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(888) 611-9888</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00" w:type="dxa"/>
        <w:jc w:val="left"/>
        <w:tblInd w:w="0" w:type="dxa"/>
        <w:tblLayout w:type="fixed"/>
        <w:tblCellMar>
          <w:top w:w="0" w:type="dxa"/>
          <w:left w:w="0" w:type="dxa"/>
          <w:bottom w:w="0" w:type="dxa"/>
          <w:right w:w="0" w:type="dxa"/>
        </w:tblCellMar>
      </w:tblPr>
      <w:tblGrid>
        <w:gridCol w:w="3065"/>
        <w:gridCol w:w="60"/>
        <w:gridCol w:w="680"/>
        <w:gridCol w:w="60"/>
        <w:gridCol w:w="2735"/>
      </w:tblGrid>
      <w:tr>
        <w:trPr/>
        <w:tc>
          <w:tcPr>
            <w:tcW w:w="3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r>
      <w:tr>
        <w:trPr/>
        <w:tc>
          <w:tcPr>
            <w:tcW w:w="30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7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065" w:type="dxa"/>
            <w:tcBorders/>
            <w:vAlign w:val="center"/>
          </w:tcPr>
          <w:p>
            <w:pPr>
              <w:pStyle w:val="TableContents"/>
              <w:bidi w:val="0"/>
              <w:spacing w:before="0" w:after="283"/>
              <w:jc w:val="center"/>
              <w:rPr/>
            </w:pPr>
            <w:r>
              <w:rPr/>
              <w:t>Common stock, $1.00 par value</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DSGR</w:t>
            </w:r>
          </w:p>
        </w:tc>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p>
            <w:pPr>
              <w:pStyle w:val="TableContents"/>
              <w:bidi w:val="0"/>
              <w:spacing w:before="0" w:after="20"/>
              <w:jc w:val="center"/>
              <w:rPr>
                <w:rFonts w:ascii="Times New Roman" w:hAnsi="Times New Roman"/>
                <w:sz w:val="20"/>
              </w:rPr>
            </w:pPr>
            <w:r>
              <w:rPr>
                <w:rFonts w:ascii="Times New Roman" w:hAnsi="Times New Roman"/>
                <w:sz w:val="20"/>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u w:val="single"/>
        </w:rPr>
        <w:t>Item 8.01 Other Events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On October 12, 2026, Lawson Products, Inc. (“Lawson”</w:t>
      </w:r>
      <w:r>
        <w:rPr>
          <w:rFonts w:ascii="Times New Roman" w:hAnsi="Times New Roman"/>
          <w:b/>
          <w:sz w:val="20"/>
        </w:rPr>
        <w:t>)</w:t>
      </w:r>
      <w:r>
        <w:rPr>
          <w:rFonts w:ascii="Times New Roman" w:hAnsi="Times New Roman"/>
          <w:sz w:val="20"/>
        </w:rPr>
        <w:t xml:space="preserve">, an Illinois corporation and wholly owned subsidiary of Distribution Solutions Group, Inc., a Delaware corporation (“DSG” or the “Company”), entered into an Agreement and Plan of Merger (the “Grade Eight Merger Agreement”) with GradeEight Holdings, LLC, a Delaware limited liability company (“GradeEight”), 301 Grade Eight Merger Sub, LLC, a Delaware limited liability company and wholly owned subsidiary of Lawson (the “Grade Eight Merger Sub”), and SV-WD, LLC, a Delaware limited liability company, solely in its capacity as unitholder representative, pursuant to which Lawson will acquire GradeEight, by means of a merger of the Grade Eight Merger Sub with and into GradeEight (the “Grade Eight Merger”), with GradeEight continuing as the surviving limited liability company and wholly owned subsidiary of Lawson (as such, the “Surviving Company”). The total amount to be paid by Lawson in the transaction is approximately $145 million, subject to certain adjustments set forth in the Grade Eight Merger Agreement (the “Purchase Price”). The Grade Eight Merger is not subject to any financing condition or contingency, and Lawson expects to fund the Purchase Price with borrowings under DSG’s existing $400 million revolving credit facility and available cash. </w:t>
      </w:r>
    </w:p>
    <w:p>
      <w:pPr>
        <w:pStyle w:val="TextBody"/>
        <w:bidi w:val="0"/>
        <w:spacing w:before="240" w:after="0"/>
        <w:jc w:val="left"/>
        <w:rPr>
          <w:rFonts w:ascii="Times New Roman" w:hAnsi="Times New Roman"/>
          <w:sz w:val="20"/>
        </w:rPr>
      </w:pPr>
      <w:r>
        <w:rPr>
          <w:rFonts w:ascii="Times New Roman" w:hAnsi="Times New Roman"/>
          <w:sz w:val="20"/>
        </w:rPr>
        <w:t xml:space="preserve">The consummation of the Grade Eight Merger is subject to certain closing and termination conditions customary for transactions similar to the Grade Eight Merger. </w:t>
      </w:r>
    </w:p>
    <w:p>
      <w:pPr>
        <w:pStyle w:val="TextBody"/>
        <w:bidi w:val="0"/>
        <w:spacing w:before="240" w:after="0"/>
        <w:jc w:val="left"/>
        <w:rPr>
          <w:rFonts w:ascii="Times New Roman" w:hAnsi="Times New Roman"/>
          <w:sz w:val="20"/>
        </w:rPr>
      </w:pPr>
      <w:r>
        <w:rPr>
          <w:rFonts w:ascii="Times New Roman" w:hAnsi="Times New Roman"/>
          <w:sz w:val="20"/>
        </w:rPr>
        <w:t xml:space="preserve">On October 13, 2026, the Company issued a press release announcing the entry of Lawson into the Grade Eight Merger Agreement. A copy of the press release is attached as Exhibit 99.1 to this Current Report and is incorporated by reference 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Information About the Merger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On July 15, 2026, the Company entered into an Agreement and Plan of Merger (the “Merger Agreement”) by and among the Company, Eclipse Parent Acquisitions, LLC, a Delaware limited liability company (“Parent”), Eclipse Intermediate Acquisitions, LLC, a Delaware limited liability company and wholly owned subsidiary of Parent (“Intermediate”), and Eclipse Acquisitions Merger Sub, Inc., a Delaware corporation and wholly owned subsidiary of Intermediate (“Merger Sub”). Parent, Intermediate, and Merger Sub were formed by, and are affiliated with, LKCM Headwater Investments, LLC (“LKCM Headwater”), J. Bryan King, and their respective affiliates. Mr. King is the Company’s Chief Executive Officer and Chairman of the Company’s Board of Directors and is also the Managing Partner of LKCM Headwater. LKCM Headwater and its affiliates beneficially own, in the aggregate, approximately 78.5% of the outstanding shares of the Company’s common stock, par value $1.00 per share (the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upon the terms and subject to the conditions set forth therein, and in accordance with the Delaware General Corporation Law (the “DGCL”), Merger Sub will merge with and into the Company (the “Merger”), with the Company continuing as the surviving corporation, becoming a wholly owned subsidiary of Intermediate and an indirect wholly owned subsidiary of Parent. Upon completion of the Merger, the Company will become a privately held company, and the Company Common Stock will no longer be listed on Nasdaq. The Merger is subject to customary closing conditions, including obtaining the requisite approval of the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the Company intends to file with the U.S. Securities and Exchange Commission (the “SEC”) a definitive proxy statement on Schedule 14A (the “Proxy Statement”). Additionally, on September 1, 2026, in connection with the Merger, the Company, LKCM and certain of their respective affiliates jointly filed with the SEC a transaction statement on Schedule 13E-3 (the “Schedule 13E-3”). The Proxy Statement and a proxy card will be sent or otherwise made available to stockholders of the Company entitled to vote at the special meeting relating to the Merger. This communication is not a substitute for the Proxy Statement, the Schedule 13E-3 or any other document that the Company may file with the SEC in connection with the Merger. BEFORE MAKING ANY VOTING DECISION, INVESTORS AND SECURITY HOLDERS OF THE COMPANY ARE URGED TO READ THE PROXY STATEMENT, THE SCHEDULE 13E-3 AND OTHER RELEVANT DOCUMENTS (INCLUDING ANY AMENDMENTS OR SUPPLEMENTS THERETO) FILED WITH THE SEC CAREFULLY AND IN THEIR ENTIRETY WHEN THEY BECOME AVAILABLE BECAUSE THEY WILL CONTAIN IMPORTANT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ABOUT THE COMPANY AND THE MERGER. Investors and security holders will be able to obtain copies of the Proxy Statement, the Schedule 13E-3 and other documents filed with the SEC by the Company free of charge from the SEC’s website at www.sec.gov or from the Company’s website.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certain of its directors, executive officers and other members of management and employees may be deemed to be participants in the solicitation of proxies from the Company’s stockholders in connection with the Merger. Information regarding the Company’s directors and executive officers is available in the Company’s proxy statement for its most recent annual meeting (the “Annual Proxy Statement”) of stockholders and in other documents filed by the Company with the SEC. Additional information regarding the interests of those persons and other persons who may be deemed participants in the Merger are included in the Schedule 13E-3 and will also be included in the Proxy Statement and other materials to be filed with SEC in connection with the Merger. To the extent holdings of the Company’s securities by its directors or executive officers have changed since the amounts set forth in the Annual Proxy Statement, such changes have been or will be reflected on Initial Statements of Beneficial Ownership of Securities on Form 3 or Statements of Change in Ownership on Form 4 filed with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contains certain “forward-looking statements” within the meaning of Section 27A of the Securities Act, Section 21E of the Exchange Act and the “safe-harbor” provisions under the Private Securities Litigation Reform Act of 1995, that involve risks and uncertainties. The terms “aim,” “anticipate,” “believe,” “contemplates,” “continues,” “could,” “ensure,” “estimate,” “expect,” “forecasts,” “if,” “intend,” “likely,” “may,” “might,” “objective,” “outlook,” “plan,” “positioned,” “potential,” “predict,” “probable,” “project,” “shall,” “should,” “strategy,” “will,” “would,” and variations of them and other words and terms of similar meaning and expression (and the negatives of such words and terms) are intended to identify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can also be identified by the fact that they do not relate strictly to historical or current facts, including those statements relating to the Grade Eight Merger and the consummation thereof, the obtaining of the requisite approval of the Merger by DSG stockholders, and the consummation of the Merger. Such forward-looking statements are based on current expectations and involve inherent risks, uncertainties and assumptions, including factors that could delay, divert or change any of them, and could cause actual outcomes to differ materially from current expectations. DSG can give no assurance that any goal or plan set forth in forward-looking statements can be achieved, and DSG cautions readers not to place undue reliance on such statements. DSG undertakes no obligation to release publicly any revisions to forward-looking statements as a result of new information, future events or otherwise. Each forward-looking statement speaks only as of the date on which such statement is made, and DSG undertakes no obligation to update any such statement to reflect events or circumstances arising after such date. Actual results may differ materially from those projected as a result of certain risks and uncertainties, including the failure of the Escrow Issuer to consummate the Offering, the failure to obtain the requisite consent to the Merger by DSG stockholders, the failure to consummate the Merger and the failure to satisfy the conditions for the release of the gross proceeds of the Offering from the escrow account. Certain risks associated with DSG’s business are also discussed from time to time in the reports DSG files with the SEC, including the Company’s Annual Report on Form 10-K, Quarterly Reports on Form 10-Q and Current Reports on Form 8-K or other reports the Company may file from time to time with the SEC, which should be reviewed carefully.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890"/>
        <w:gridCol w:w="120"/>
        <w:gridCol w:w="762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762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72705dex991.htm">
              <w:r>
                <w:rPr>
                  <w:rStyle w:val="InternetLink"/>
                </w:rPr>
                <w:t xml:space="preserve">Press Release dated October 13,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9218" w:type="dxa"/>
        <w:jc w:val="left"/>
        <w:tblInd w:w="0" w:type="dxa"/>
        <w:tblLayout w:type="fixed"/>
        <w:tblCellMar>
          <w:top w:w="0" w:type="dxa"/>
          <w:left w:w="0" w:type="dxa"/>
          <w:bottom w:w="0" w:type="dxa"/>
          <w:right w:w="0" w:type="dxa"/>
        </w:tblCellMar>
      </w:tblPr>
      <w:tblGrid>
        <w:gridCol w:w="2270"/>
        <w:gridCol w:w="60"/>
        <w:gridCol w:w="23"/>
        <w:gridCol w:w="60"/>
        <w:gridCol w:w="650"/>
        <w:gridCol w:w="60"/>
        <w:gridCol w:w="6095"/>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9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05" w:type="dxa"/>
            <w:gridSpan w:val="3"/>
            <w:tcBorders/>
            <w:vAlign w:val="center"/>
          </w:tcPr>
          <w:p>
            <w:pPr>
              <w:pStyle w:val="TableContents"/>
              <w:bidi w:val="0"/>
              <w:spacing w:before="0" w:after="283"/>
              <w:jc w:val="left"/>
              <w:rPr>
                <w:b/>
              </w:rPr>
            </w:pPr>
            <w:r>
              <w:rPr>
                <w:b/>
              </w:rPr>
              <w:t>DISTRIBUTION SOLUTIONS GROUP,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05" w:type="dxa"/>
            <w:gridSpan w:val="3"/>
            <w:tcBorders/>
            <w:vAlign w:val="center"/>
          </w:tcPr>
          <w:p>
            <w:pPr>
              <w:pStyle w:val="TableContents"/>
              <w:bidi w:val="0"/>
              <w:spacing w:before="0" w:after="283"/>
              <w:jc w:val="left"/>
              <w:rPr/>
            </w:pPr>
            <w:r>
              <w:rPr/>
              <w:t>(Registrant)</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6155"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14,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J. Knutson</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283"/>
              <w:jc w:val="left"/>
              <w:rPr/>
            </w:pPr>
            <w:r>
              <w:rPr/>
              <w:t>Ronald J. Knutson</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283"/>
              <w:jc w:val="left"/>
              <w:rPr/>
            </w:pPr>
            <w:r>
              <w:rPr/>
              <w:t>Executive Vice President, Chief Financial Officer and Treasurer</w:t>
            </w:r>
          </w:p>
        </w:tc>
      </w:tr>
    </w:tbl>
    <w:p>
      <w:pPr>
        <w:pStyle w:val="TextBody"/>
        <w:bidi w:val="0"/>
        <w:spacing w:before="0" w:after="0"/>
        <w:jc w:val="right"/>
        <w:rPr>
          <w:rFonts w:ascii="Times New Roman" w:hAnsi="Times New Roman"/>
          <w:b/>
          <w:sz w:val="20"/>
        </w:rPr>
      </w:pPr>
      <w:bookmarkStart w:id="2" w:name="d172705dex991.htm"/>
      <w:bookmarkStart w:id="3" w:name="ksd172705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Distribution Solutions Group Announces Strategic Acquisition of Winzer and FastServ Supply  </w:t>
      </w:r>
    </w:p>
    <w:p>
      <w:pPr>
        <w:pStyle w:val="TextBody"/>
        <w:bidi w:val="0"/>
        <w:spacing w:before="120" w:after="0"/>
        <w:jc w:val="center"/>
        <w:rPr>
          <w:rFonts w:ascii="Times New Roman" w:hAnsi="Times New Roman"/>
          <w:i/>
          <w:sz w:val="20"/>
        </w:rPr>
      </w:pPr>
      <w:r>
        <w:rPr>
          <w:rFonts w:ascii="Times New Roman" w:hAnsi="Times New Roman"/>
          <w:i/>
          <w:sz w:val="20"/>
        </w:rPr>
        <w:t xml:space="preserve">Expands MRO Distribution Network through Enhanced Customer Reach and Geographic Coverage </w:t>
      </w:r>
    </w:p>
    <w:p>
      <w:pPr>
        <w:pStyle w:val="TextBody"/>
        <w:bidi w:val="0"/>
        <w:spacing w:before="240" w:after="0"/>
        <w:jc w:val="left"/>
        <w:rPr>
          <w:rFonts w:ascii="Times New Roman" w:hAnsi="Times New Roman"/>
          <w:sz w:val="20"/>
        </w:rPr>
      </w:pPr>
      <w:r>
        <w:rPr>
          <w:rFonts w:ascii="Times New Roman" w:hAnsi="Times New Roman"/>
          <w:b/>
          <w:sz w:val="20"/>
        </w:rPr>
        <w:t>FORT WORTH, Texas, October</w:t>
      </w:r>
      <w:r>
        <w:rPr>
          <w:rFonts w:ascii="Times New Roman" w:hAnsi="Times New Roman"/>
          <w:sz w:val="20"/>
        </w:rPr>
        <w:t> </w:t>
      </w:r>
      <w:r>
        <w:rPr>
          <w:rFonts w:ascii="Times New Roman" w:hAnsi="Times New Roman"/>
          <w:b/>
          <w:sz w:val="20"/>
        </w:rPr>
        <w:t>13, 2026 – Distribution Solutions Group, Inc. (NASDAQ: DSGR) (“DSG” or the “Company”)</w:t>
      </w:r>
      <w:r>
        <w:rPr>
          <w:rFonts w:ascii="Times New Roman" w:hAnsi="Times New Roman"/>
          <w:sz w:val="20"/>
        </w:rPr>
        <w:t xml:space="preserve">, a premier specialty distribution company, today announced a definitive agreement to acquire GradeEight Holdings, LLC (“GradeEight”), a multi-brand MRO distribution platform utilizing a national network of franchisees under Winzer Corporation (“Winzer”), and retail-facing storefronts through FastServ Supply located in Texas and Arkansas. </w:t>
      </w:r>
    </w:p>
    <w:p>
      <w:pPr>
        <w:pStyle w:val="TextBody"/>
        <w:bidi w:val="0"/>
        <w:spacing w:before="240" w:after="0"/>
        <w:jc w:val="left"/>
        <w:rPr>
          <w:rFonts w:ascii="Times New Roman" w:hAnsi="Times New Roman"/>
          <w:sz w:val="20"/>
        </w:rPr>
      </w:pPr>
      <w:r>
        <w:rPr>
          <w:rFonts w:ascii="Times New Roman" w:hAnsi="Times New Roman"/>
          <w:sz w:val="20"/>
        </w:rPr>
        <w:t xml:space="preserve">Founded in 1978, Winzer is a principal operating company of GradeEight Holdings, LLC. Through its MRO distribution model, Winzer serves customers across all 50 states, Puerto Rico, Mexico, and Canada, supported by distribution facilities in Texas and Michigan. A key differentiator of the business is its network of more than 270 franchisees, serving approximately 12,000 customers and providing access to a product portfolio of over 65,000 SKUs. In addition to its MRO distribution operations, GradeEight operates FastServ Supply, a brick-and-mortar retail chain with eight locations across Texas and Arkansas. Both businesses, along with their e-commerce site, serve a diverse range of end markets, including automotive, construction, manufacturing, transportation &amp; logistics, government and public sector, energy, agriculture, and other industrial sectors. </w:t>
      </w:r>
    </w:p>
    <w:p>
      <w:pPr>
        <w:pStyle w:val="TextBody"/>
        <w:bidi w:val="0"/>
        <w:spacing w:before="240" w:after="0"/>
        <w:jc w:val="left"/>
        <w:rPr/>
      </w:pPr>
      <w:r>
        <w:rPr/>
        <w:t>“</w:t>
      </w:r>
      <w:r>
        <w:rPr>
          <w:rFonts w:ascii="Times New Roman" w:hAnsi="Times New Roman"/>
          <w:sz w:val="20"/>
        </w:rPr>
        <w:t xml:space="preserve">GradeEight, through its Winzer and FastServ Supply businesses, has successfully built a differentiated on-site business with committed franchisees serving a loyal customer base and enjoying a strong market presence across the MRO market and retail channels,” said J. Bryan King, Chairman and Chief Executive Officer of Distribution Solutions Group. “Their complementary capabilities, broad marketplace coverage, and established presence enhance DSG’s platform and our ability to serve customers across key regions. We are excited to invest in tools, products, and other growth opportunities for its franchisees and FastServ locations to deepen engagement with their customers. We are pleased to welcome the GradeEight team to DSG and look forward to leveraging our combined strengths to drive continued growth and value for our customers, suppliers and associates.” </w:t>
      </w:r>
    </w:p>
    <w:p>
      <w:pPr>
        <w:pStyle w:val="TextBody"/>
        <w:bidi w:val="0"/>
        <w:spacing w:before="240" w:after="0"/>
        <w:jc w:val="left"/>
        <w:rPr/>
      </w:pPr>
      <w:r>
        <w:rPr/>
        <w:t>“</w:t>
      </w:r>
      <w:r>
        <w:rPr>
          <w:rFonts w:ascii="Times New Roman" w:hAnsi="Times New Roman"/>
          <w:sz w:val="20"/>
        </w:rPr>
        <w:t xml:space="preserve">This transaction represents an exciting new chapter for GradeEight. By joining DSG and working alongside the Lawson Products team, we gain access to expanded resources, product categories, and operational capabilities that will benefit our customers and supplier partners,” said Cody Patterson, CEO of GradeEight Holdings. “We are grateful for the relationships we have developed over the years and believe this combination positions our franchisees, our business and our employees for continued success and new opportunities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GradeEight Holdings generates approximately $110 million in annual sales and is expected to be accretive to DSG’s Adjusted EBITDA margins on a go-forward basis. The transaction will be funded through DSG’s existing cash and availability under its amended credit agreement and is expected to close in the fourth quarter of 2026, subject to customary closing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About GradeEight Holdings </w:t>
      </w:r>
    </w:p>
    <w:p>
      <w:pPr>
        <w:pStyle w:val="TextBody"/>
        <w:bidi w:val="0"/>
        <w:spacing w:before="120" w:after="0"/>
        <w:jc w:val="left"/>
        <w:rPr>
          <w:rFonts w:ascii="Times New Roman" w:hAnsi="Times New Roman"/>
          <w:sz w:val="20"/>
        </w:rPr>
      </w:pPr>
      <w:r>
        <w:rPr>
          <w:rFonts w:ascii="Times New Roman" w:hAnsi="Times New Roman"/>
          <w:sz w:val="20"/>
        </w:rPr>
        <w:t xml:space="preserve">GradeEight Holdings is a national distributor of Maintenance, Repair, and Operations (MRO) products with approximately 190 associates and 270 franchisees serving customers across the United States. GradeEight supplies fasteners, electrical supplies, chemicals, shop supplies, automotive supplies, safety supplies, cutting tools, abrasives, hydraulics, and janitorial supplies. GradeEight’s mission is to build a great MRO company by providing quality products and comprehensive solutions through unmatched service while helping customers succeed and associates thrive.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About Distribution Solutions Group, Inc. </w:t>
      </w:r>
    </w:p>
    <w:p>
      <w:pPr>
        <w:pStyle w:val="TextBody"/>
        <w:bidi w:val="0"/>
        <w:spacing w:before="120" w:after="0"/>
        <w:jc w:val="left"/>
        <w:rPr>
          <w:rFonts w:ascii="Times New Roman" w:hAnsi="Times New Roman"/>
          <w:sz w:val="20"/>
        </w:rPr>
      </w:pPr>
      <w:r>
        <w:rPr>
          <w:rFonts w:ascii="Times New Roman" w:hAnsi="Times New Roman"/>
          <w:sz w:val="20"/>
        </w:rPr>
        <w:t xml:space="preserve">DSG is a premier multi-platform specialty distribution company providing high-touch, value-added distribution solutions to the maintenance, repair &amp; operations (MRO), original equipment manufacturer (OEM) and industrial technologies markets. DSG was formed through the strategic combination of Lawson Products, a leader in MRO distribution of C-parts, including the Canada Branch Division; Gexpro Services, a leading global supply chain services provider to manufacturing customers; and TestEquity, a leader in electronic test &amp; measurement and supply solutions. </w:t>
      </w:r>
    </w:p>
    <w:p>
      <w:pPr>
        <w:pStyle w:val="TextBody"/>
        <w:bidi w:val="0"/>
        <w:spacing w:before="240" w:after="0"/>
        <w:jc w:val="left"/>
        <w:rPr>
          <w:rFonts w:ascii="Times New Roman" w:hAnsi="Times New Roman"/>
          <w:sz w:val="20"/>
        </w:rPr>
      </w:pPr>
      <w:r>
        <w:rPr>
          <w:rFonts w:ascii="Times New Roman" w:hAnsi="Times New Roman"/>
          <w:sz w:val="20"/>
        </w:rPr>
        <w:t xml:space="preserve">Through its collective businesses, DSG is dedicated to helping customers lower their total cost of operation by increasing productivity and efficiency with the right products, expert technical support, and fast, reliable delivery to be a one-stop solution provider. DSG serves over 200,000 customers in several diverse end markets supported by approximately 4,300 dedicated employees and strong vendor partnerships. DSG ships from strategically located distribution and service centers to customers in North America, Europe, Asia, South America and the Middle East.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on Distribution Solutions Group, please visit </w:t>
      </w:r>
      <w:r>
        <w:rPr>
          <w:rFonts w:ascii="Times New Roman" w:hAnsi="Times New Roman"/>
          <w:sz w:val="20"/>
          <w:u w:val="single"/>
        </w:rPr>
        <w:t>www.distributionsolutionsgroup.com</w:t>
      </w:r>
      <w:r>
        <w:rPr>
          <w:rFonts w:ascii="Times New Roman" w:hAnsi="Times New Roman"/>
          <w:sz w:val="20"/>
        </w:rPr>
        <w:t xml:space="preserv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release contains certain “forward-looking statements” within the meaning of Section 27A of the Securities Act of 1933, as amended, Section 21E of the Securities Exchange Act of 1934, as amended, and the “safe-harbor” provisions under the Private Securities Litigation Reform Act of 1995, that involve risks and uncertainties. The Terms “aim,” “anticipate,” “believe,” “contemplates,” “continues,” “could,” “ensure,” “estimate,” “expect,” “forecasts,” “if,” “intend,” “likely,” “may,” “might,” “objective,” “outlook,” “plan,” “positioned,” “potential,” “predict,” “probable,” “project,” “shall,” “should,” “strategy,” “will,” “would,” and variations of them and other words and terms of similar meaning and expression (and the negatives of such words and terms) are intended to identify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can also be identified by the fact that they do not relate strictly to historical or current facts. Such forward-looking statements are based on current expectations and involve inherent risks, uncertainties and assumptions, including factors that could delay, divert or change any of them, and could cause actual outcomes to differ materially from current expectations. DSG can give no assurance that any goal or plan set forth in forward-looking statements can be achieved and DSG cautions readers not to place undue reliance on such statements. DSG undertakes no obligation to release publicly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revisions to forward-looking statements as a result of new information, future events or otherwise. Each forward-looking statement speaks only as of the date on which such statement is made, and DSG undertakes no obligation to update any such statement to reflect events or circumstances arising after such date. Actual results may differ materially from those projected as a result of certain risks and uncertainties. Factors that could cause or contribute to such differences or that might otherwise impact DSG’s business, financial condition and results of operations include the risks that DSG may encounter difficulties integrating the business of DSG with the business of other companies that DSG has combined with or may otherwise combine with and that certain assumptions with respect to such business or transactions could prove to be inaccurate. Certain risks associated with DSG’s business are also discussed from time to time in the reports DSG files with the Securities and Exchange Commission, including the Company’s Annual Report on Form 10-K, Quarterly Reports on Form 10-Q and Current Reports on Form 8-K or other reports the Company may file from time to time with the Securities and Exchange Commission, which should be reviewed carefully.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 xml:space="preserve">Company: </w:t>
      </w:r>
    </w:p>
    <w:p>
      <w:pPr>
        <w:pStyle w:val="TextBody"/>
        <w:bidi w:val="0"/>
        <w:spacing w:before="120" w:after="0"/>
        <w:jc w:val="left"/>
        <w:rPr>
          <w:rFonts w:ascii="Times New Roman" w:hAnsi="Times New Roman"/>
          <w:sz w:val="20"/>
        </w:rPr>
      </w:pPr>
      <w:r>
        <w:rPr>
          <w:rFonts w:ascii="Times New Roman" w:hAnsi="Times New Roman"/>
          <w:sz w:val="20"/>
        </w:rPr>
        <w:t xml:space="preserve">Distribution Solutions Group, Inc. </w:t>
      </w:r>
    </w:p>
    <w:p>
      <w:pPr>
        <w:pStyle w:val="TextBody"/>
        <w:bidi w:val="0"/>
        <w:spacing w:before="0" w:after="0"/>
        <w:jc w:val="left"/>
        <w:rPr>
          <w:rFonts w:ascii="Times New Roman" w:hAnsi="Times New Roman"/>
          <w:sz w:val="20"/>
        </w:rPr>
      </w:pPr>
      <w:r>
        <w:rPr>
          <w:rFonts w:ascii="Times New Roman" w:hAnsi="Times New Roman"/>
          <w:sz w:val="20"/>
        </w:rPr>
        <w:t xml:space="preserve">Ronald J. Knutson </w:t>
      </w:r>
    </w:p>
    <w:p>
      <w:pPr>
        <w:pStyle w:val="TextBody"/>
        <w:bidi w:val="0"/>
        <w:spacing w:before="0" w:after="0"/>
        <w:jc w:val="left"/>
        <w:rPr>
          <w:rFonts w:ascii="Times New Roman" w:hAnsi="Times New Roman"/>
          <w:sz w:val="20"/>
        </w:rPr>
      </w:pPr>
      <w:r>
        <w:rPr>
          <w:rFonts w:ascii="Times New Roman" w:hAnsi="Times New Roman"/>
          <w:sz w:val="20"/>
        </w:rPr>
        <w:t xml:space="preserve">Executive Vice President, Chief Financial Officer and Treasurer </w:t>
      </w:r>
    </w:p>
    <w:p>
      <w:pPr>
        <w:pStyle w:val="TextBody"/>
        <w:bidi w:val="0"/>
        <w:spacing w:before="0" w:after="0"/>
        <w:jc w:val="left"/>
        <w:rPr>
          <w:rFonts w:ascii="Times New Roman" w:hAnsi="Times New Roman"/>
          <w:sz w:val="20"/>
        </w:rPr>
      </w:pPr>
      <w:r>
        <w:rPr>
          <w:rFonts w:ascii="Times New Roman" w:hAnsi="Times New Roman"/>
          <w:sz w:val="20"/>
        </w:rPr>
        <w:t xml:space="preserve">1-888-611-9888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Relations: </w:t>
      </w:r>
    </w:p>
    <w:p>
      <w:pPr>
        <w:pStyle w:val="TextBody"/>
        <w:bidi w:val="0"/>
        <w:spacing w:before="120" w:after="0"/>
        <w:jc w:val="left"/>
        <w:rPr>
          <w:rFonts w:ascii="Times New Roman" w:hAnsi="Times New Roman"/>
          <w:sz w:val="20"/>
        </w:rPr>
      </w:pPr>
      <w:r>
        <w:rPr>
          <w:rFonts w:ascii="Times New Roman" w:hAnsi="Times New Roman"/>
          <w:sz w:val="20"/>
        </w:rPr>
        <w:t xml:space="preserve">Three Part Advisors, LLC </w:t>
      </w:r>
    </w:p>
    <w:p>
      <w:pPr>
        <w:pStyle w:val="TextBody"/>
        <w:bidi w:val="0"/>
        <w:spacing w:before="0" w:after="0"/>
        <w:jc w:val="left"/>
        <w:rPr>
          <w:rFonts w:ascii="Times New Roman" w:hAnsi="Times New Roman"/>
          <w:sz w:val="20"/>
        </w:rPr>
      </w:pPr>
      <w:r>
        <w:rPr>
          <w:rFonts w:ascii="Times New Roman" w:hAnsi="Times New Roman"/>
          <w:sz w:val="20"/>
        </w:rPr>
        <w:t xml:space="preserve">Steven Hooser / Sandy Martin </w:t>
      </w:r>
    </w:p>
    <w:p>
      <w:pPr>
        <w:pStyle w:val="TextBody"/>
        <w:bidi w:val="0"/>
        <w:spacing w:before="0" w:after="0"/>
        <w:jc w:val="left"/>
        <w:rPr>
          <w:rFonts w:ascii="Times New Roman" w:hAnsi="Times New Roman"/>
          <w:sz w:val="20"/>
        </w:rPr>
      </w:pPr>
      <w:r>
        <w:rPr>
          <w:rFonts w:ascii="Times New Roman" w:hAnsi="Times New Roman"/>
          <w:sz w:val="20"/>
        </w:rPr>
        <w:t xml:space="preserve">214-872-2710 / 214-616-2207 </w:t>
      </w:r>
    </w:p>
    <w:p>
      <w:pPr>
        <w:pStyle w:val="TextBody"/>
        <w:bidi w:val="0"/>
        <w:spacing w:before="240" w:after="0"/>
        <w:jc w:val="left"/>
        <w:rPr>
          <w:rFonts w:ascii="Times New Roman" w:hAnsi="Times New Roman"/>
          <w:sz w:val="20"/>
        </w:rPr>
      </w:pPr>
      <w:r>
        <w:rPr>
          <w:rFonts w:ascii="Times New Roman" w:hAnsi="Times New Roman"/>
          <w:sz w:val="20"/>
        </w:rPr>
        <w:t xml:space="preserve">Source: Distribution Solutions Group,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2868</Words>
  <Characters>16650</Characters>
  <CharactersWithSpaces>19519</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