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49530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52705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2" w:lineRule="exact"/>
        <w:rPr>
          <w:sz w:val="24"/>
          <w:szCs w:val="24"/>
          <w:color w:val="auto"/>
        </w:rPr>
      </w:pPr>
    </w:p>
    <w:p>
      <w:pPr>
        <w:ind w:left="1120" w:hanging="662"/>
        <w:spacing w:after="0"/>
        <w:tabs>
          <w:tab w:leader="none" w:pos="11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1140" w:hanging="669"/>
        <w:spacing w:after="0"/>
        <w:tabs>
          <w:tab w:leader="none" w:pos="11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0"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53975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DISTRIBUTION SOLUTIONS GROUP,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21590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20"/>
          </w:cols>
          <w:pgMar w:left="320" w:top="830" w:right="359" w:bottom="1440" w:gutter="0" w:footer="0" w:header="0"/>
        </w:sectPr>
      </w:pPr>
    </w:p>
    <w:p>
      <w:pPr>
        <w:spacing w:after="0" w:line="18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36-2229304</w:t>
      </w:r>
    </w:p>
    <w:p>
      <w:pPr>
        <w:spacing w:after="0" w:line="31" w:lineRule="exact"/>
        <w:rPr>
          <w:sz w:val="24"/>
          <w:szCs w:val="24"/>
          <w:color w:val="auto"/>
        </w:rPr>
      </w:pPr>
    </w:p>
    <w:p>
      <w:pPr>
        <w:sectPr>
          <w:pgSz w:w="11900" w:h="16838" w:orient="portrait"/>
          <w:cols w:equalWidth="0" w:num="2">
            <w:col w:w="7180" w:space="720"/>
            <w:col w:w="3320"/>
          </w:cols>
          <w:pgMar w:left="320" w:top="830" w:right="35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27" w:lineRule="exact"/>
        <w:rPr>
          <w:sz w:val="24"/>
          <w:szCs w:val="24"/>
          <w:color w:val="auto"/>
        </w:rPr>
      </w:pPr>
    </w:p>
    <w:p>
      <w:pPr>
        <w:sectPr>
          <w:pgSz w:w="11900" w:h="16838" w:orient="portrait"/>
          <w:cols w:equalWidth="0" w:num="2">
            <w:col w:w="6520" w:space="720"/>
            <w:col w:w="3980"/>
          </w:cols>
          <w:pgMar w:left="320" w:top="830" w:right="35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b w:val="1"/>
          <w:bCs w:val="1"/>
          <w:color w:val="auto"/>
        </w:rPr>
        <w:t>301 Commerce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Fort Worth,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jc w:val="center"/>
        <w:ind w:right="2660"/>
        <w:spacing w:after="0"/>
        <w:rPr>
          <w:sz w:val="20"/>
          <w:szCs w:val="20"/>
          <w:color w:val="auto"/>
        </w:rPr>
      </w:pPr>
      <w:r>
        <w:rPr>
          <w:rFonts w:ascii="Times New Roman" w:cs="Times New Roman" w:eastAsia="Times New Roman" w:hAnsi="Times New Roman"/>
          <w:sz w:val="17"/>
          <w:szCs w:val="17"/>
          <w:b w:val="1"/>
          <w:bCs w:val="1"/>
          <w:color w:val="auto"/>
        </w:rPr>
        <w:t>76102</w:t>
      </w:r>
    </w:p>
    <w:p>
      <w:pPr>
        <w:spacing w:after="0" w:line="43" w:lineRule="exact"/>
        <w:rPr>
          <w:sz w:val="24"/>
          <w:szCs w:val="24"/>
          <w:color w:val="auto"/>
        </w:rPr>
      </w:pPr>
    </w:p>
    <w:p>
      <w:pPr>
        <w:sectPr>
          <w:pgSz w:w="11900" w:h="16838" w:orient="portrait"/>
          <w:cols w:equalWidth="0" w:num="4">
            <w:col w:w="3460" w:space="540"/>
            <w:col w:w="940" w:space="320"/>
            <w:col w:w="2140" w:space="720"/>
            <w:col w:w="3100"/>
          </w:cols>
          <w:pgMar w:left="320" w:top="830" w:right="35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220"/>
          </w:cols>
          <w:pgMar w:left="320" w:top="830"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611-9888</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220"/>
          </w:cols>
          <w:pgMar w:left="320" w:top="830" w:right="359" w:bottom="1440" w:gutter="0" w:footer="0" w:header="0"/>
          <w:type w:val="continuous"/>
        </w:sect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DSGR</w:t>
            </w:r>
          </w:p>
        </w:tc>
        <w:tc>
          <w:tcPr>
            <w:tcW w:w="100" w:type="dxa"/>
            <w:vAlign w:val="bottom"/>
          </w:tcPr>
          <w:p>
            <w:pPr>
              <w:spacing w:after="0"/>
              <w:rPr>
                <w:sz w:val="19"/>
                <w:szCs w:val="19"/>
                <w:color w:val="auto"/>
              </w:rPr>
            </w:pPr>
          </w:p>
        </w:tc>
        <w:tc>
          <w:tcPr>
            <w:tcW w:w="5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3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jc w:val="both"/>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82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24, 2026, 46,195,165 shares of common stock, $1.00 par value, were outstanding.</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0"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Page #</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2026 and December 31, 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for the Three Months Ended March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 and 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9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 Months Ended March 31, 2026 and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9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2026 and 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 II - OTHER INFORMATION</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900" w:type="dxa"/>
            <w:vAlign w:val="bottom"/>
          </w:tcPr>
          <w:p>
            <w:pPr>
              <w:spacing w:after="0"/>
              <w:rPr>
                <w:sz w:val="24"/>
                <w:szCs w:val="24"/>
                <w:color w:val="auto"/>
              </w:rPr>
            </w:pPr>
          </w:p>
        </w:tc>
        <w:tc>
          <w:tcPr>
            <w:tcW w:w="9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federal securities laws that involve risks and uncertainties. Terms such as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Forward-looking statements can also be identified by the fact that they do not relate strictly to historical or current facts. These statements are not guarantees of future performance and involve risks, uncertainties and assumptions that are difficult to predict. These statements are based on management’s current expectations, intentions or beliefs as of the date they are made and are subject to a number of factors, assumptions and uncertainties that could cause actual results to differ materially from those described in the forward-looking statements. Factors that could cause or contribute to such differences or that might otherwise impact our business, financial condition and results of operations include:</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disruptions at transportation centers or shipping 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product mix and pricing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our information and communication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other information security incidents or IT system outages;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manage or implement new technology initiatives or business strategies in an effective and compliant manner, including with respect to artificial intelligence (“AI”);</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recruit, integrate and retain productive sales representatives;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talented employees, managers and executives;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business operations of businesses we acquire with our other operations, and/or the failure to successfully combine those operations within our expected timetable;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management to successfully implement changes in operating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charges for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affect governmental and other tax-supported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amount of indebtedness;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fund our operating and working capital needs through cash generated from operations and borrowings available under our credit facility;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covenant requirements of our credit facility or an increase in interest rates under our credit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efforts to combat inflation, or other interest rate pressures, could lead to higher financing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 of our common stock (the “DSG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influence of Luther King Capital Management Corporation (“LKCM”) over the Company in light of its ownership percentage;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shares of DSG common stock held by entities affiliated with LKCM or the possibility of any such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environmental protection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income tax audits, sales tax audits or similar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limitations on our ability to use our net operating losses and certain other tax attributes;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or in certain sectors of the economy;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tariffs, transportation costs and the cost of raw materials used in our products, and other inflationary pressures;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tariffs, changes in trade policies and changes in import and export regulations of U.S. and foreign governments;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inflationary pressure and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changes;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discussed in the “Risk Factors” section of our Annual Report on Form 10-K for the fiscal year ended December 31, 2025.</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 contained herein, whether to reflect events or circumstances after the date on which such statement is made or to reflect the occurrence of unanticipated events or otherwise, except as may be required under applicable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180" w:type="dxa"/>
            <w:vAlign w:val="bottom"/>
            <w:tcBorders>
              <w:top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61,753</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13,573</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less allowances of $7,181 and $6,472, respectively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271,331</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353,374</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46,893</w:t>
            </w:r>
          </w:p>
        </w:tc>
        <w:tc>
          <w:tcPr>
            <w:tcW w:w="0" w:type="dxa"/>
            <w:vAlign w:val="bottom"/>
          </w:tcPr>
          <w:p>
            <w:pPr>
              <w:spacing w:after="0"/>
              <w:rPr>
                <w:sz w:val="1"/>
                <w:szCs w:val="1"/>
                <w:color w:val="auto"/>
              </w:rPr>
            </w:pPr>
          </w:p>
        </w:tc>
      </w:tr>
      <w:tr>
        <w:trPr>
          <w:trHeight w:val="207"/>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746,924</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126,605</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equipment,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38,956</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467,905</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 intangibles,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143,503</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and other intangibles,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value of life insurance</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21,567</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operating lease assets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111,117</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8,296</w:t>
            </w:r>
          </w:p>
        </w:tc>
        <w:tc>
          <w:tcPr>
            <w:tcW w:w="0" w:type="dxa"/>
            <w:vAlign w:val="bottom"/>
          </w:tcPr>
          <w:p>
            <w:pPr>
              <w:spacing w:after="0"/>
              <w:rPr>
                <w:sz w:val="1"/>
                <w:szCs w:val="1"/>
                <w:color w:val="auto"/>
              </w:rPr>
            </w:pPr>
          </w:p>
        </w:tc>
      </w:tr>
      <w:tr>
        <w:trPr>
          <w:trHeight w:val="207"/>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1,748,621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1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151,234</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35,470</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84,137</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291,465</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664,196</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98,821</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20,147</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24,645</w:t>
            </w:r>
          </w:p>
        </w:tc>
        <w:tc>
          <w:tcPr>
            <w:tcW w:w="0" w:type="dxa"/>
            <w:vAlign w:val="bottom"/>
          </w:tcPr>
          <w:p>
            <w:pPr>
              <w:spacing w:after="0"/>
              <w:rPr>
                <w:sz w:val="1"/>
                <w:szCs w:val="1"/>
                <w:color w:val="auto"/>
              </w:rPr>
            </w:pPr>
          </w:p>
        </w:tc>
      </w:tr>
      <w:tr>
        <w:trPr>
          <w:trHeight w:val="207"/>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1,141,897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1,099,274</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$1 par value:</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- 500,000 shares, issued and outstanding — None</w:t>
            </w: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$1 par value: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Authorized - 70,000,000 shares</w:t>
            </w: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Issued - 47,876,937 and 47,860,312 shares, respectively</w:t>
            </w:r>
          </w:p>
        </w:tc>
        <w:tc>
          <w:tcPr>
            <w:tcW w:w="28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46,180</w:t>
            </w:r>
          </w:p>
        </w:tc>
        <w:tc>
          <w:tcPr>
            <w:tcW w:w="0" w:type="dxa"/>
            <w:vAlign w:val="bottom"/>
          </w:tcPr>
          <w:p>
            <w:pPr>
              <w:spacing w:after="0"/>
              <w:rPr>
                <w:sz w:val="1"/>
                <w:szCs w:val="1"/>
                <w:color w:val="auto"/>
              </w:rPr>
            </w:pPr>
          </w:p>
        </w:tc>
      </w:tr>
      <w:tr>
        <w:trPr>
          <w:trHeight w:val="213"/>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- 46,192,457 and 46,180,700 shares, respectively</w:t>
            </w:r>
          </w:p>
        </w:tc>
        <w:tc>
          <w:tcPr>
            <w:tcW w:w="28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686,183</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(33,694)</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 1,684,480 and 1,679,612 shares, respectively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(43,998)</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649,347</w:t>
            </w:r>
          </w:p>
        </w:tc>
        <w:tc>
          <w:tcPr>
            <w:tcW w:w="0" w:type="dxa"/>
            <w:vAlign w:val="bottom"/>
          </w:tcPr>
          <w:p>
            <w:pPr>
              <w:spacing w:after="0"/>
              <w:rPr>
                <w:sz w:val="1"/>
                <w:szCs w:val="1"/>
                <w:color w:val="auto"/>
              </w:rPr>
            </w:pPr>
          </w:p>
        </w:tc>
      </w:tr>
      <w:tr>
        <w:trPr>
          <w:trHeight w:val="207"/>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1,748,621</w:t>
            </w:r>
          </w:p>
        </w:tc>
        <w:tc>
          <w:tcPr>
            <w:tcW w:w="0" w:type="dxa"/>
            <w:vAlign w:val="bottom"/>
          </w:tcPr>
          <w:p>
            <w:pPr>
              <w:spacing w:after="0"/>
              <w:rPr>
                <w:sz w:val="1"/>
                <w:szCs w:val="1"/>
                <w:color w:val="auto"/>
              </w:rPr>
            </w:pPr>
          </w:p>
        </w:tc>
      </w:tr>
      <w:tr>
        <w:trPr>
          <w:trHeight w:val="23"/>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495,995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478,029</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332,656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314,049</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163,339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163,980</w:t>
            </w:r>
          </w:p>
        </w:tc>
      </w:tr>
      <w:tr>
        <w:trPr>
          <w:trHeight w:val="257"/>
        </w:trPr>
        <w:tc>
          <w:tcPr>
            <w:tcW w:w="8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149,709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143,883</w:t>
            </w: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20,097</w:t>
            </w:r>
          </w:p>
        </w:tc>
      </w:tr>
      <w:tr>
        <w:trPr>
          <w:trHeight w:val="259"/>
        </w:trPr>
        <w:tc>
          <w:tcPr>
            <w:tcW w:w="80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(14,215)</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39"/>
        </w:trPr>
        <w:tc>
          <w:tcPr>
            <w:tcW w:w="80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1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39"/>
        </w:trPr>
        <w:tc>
          <w:tcPr>
            <w:tcW w:w="8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8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income (loss) per share of common stock</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8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income (loss) per share of common stock</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19"/>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w:t>
            </w:r>
          </w:p>
        </w:tc>
      </w:tr>
      <w:tr>
        <w:trPr>
          <w:trHeight w:val="23"/>
        </w:trPr>
        <w:tc>
          <w:tcPr>
            <w:tcW w:w="8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218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Accumulated Other</w:t>
            </w:r>
          </w:p>
        </w:tc>
        <w:tc>
          <w:tcPr>
            <w:tcW w:w="120" w:type="dxa"/>
            <w:vAlign w:val="bottom"/>
          </w:tcPr>
          <w:p>
            <w:pPr>
              <w:spacing w:after="0"/>
              <w:rPr>
                <w:sz w:val="18"/>
                <w:szCs w:val="18"/>
                <w:color w:val="auto"/>
              </w:rPr>
            </w:pPr>
          </w:p>
        </w:tc>
        <w:tc>
          <w:tcPr>
            <w:tcW w:w="11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2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Outstanding</w:t>
            </w: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Retained</w:t>
            </w:r>
          </w:p>
        </w:tc>
        <w:tc>
          <w:tcPr>
            <w:tcW w:w="160" w:type="dxa"/>
            <w:vAlign w:val="bottom"/>
          </w:tcPr>
          <w:p>
            <w:pPr>
              <w:spacing w:after="0"/>
              <w:rPr>
                <w:sz w:val="2"/>
                <w:szCs w:val="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Treasury</w:t>
            </w:r>
          </w:p>
        </w:tc>
        <w:tc>
          <w:tcPr>
            <w:tcW w:w="15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 Par Value</w:t>
            </w:r>
          </w:p>
        </w:tc>
        <w:tc>
          <w:tcPr>
            <w:tcW w:w="11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Excess of Par</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Shares</w:t>
            </w: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4"/>
              </w:rPr>
              <w:t>Value</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Deficit</w:t>
            </w:r>
          </w:p>
        </w:tc>
        <w:tc>
          <w:tcPr>
            <w:tcW w:w="16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Income (Loss)</w:t>
            </w:r>
          </w:p>
        </w:tc>
        <w:tc>
          <w:tcPr>
            <w:tcW w:w="12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46,180,700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649,347</w:t>
            </w:r>
          </w:p>
        </w:tc>
        <w:tc>
          <w:tcPr>
            <w:tcW w:w="0" w:type="dxa"/>
            <w:vAlign w:val="bottom"/>
          </w:tcPr>
          <w:p>
            <w:pPr>
              <w:spacing w:after="0"/>
              <w:rPr>
                <w:sz w:val="1"/>
                <w:szCs w:val="1"/>
                <w:color w:val="auto"/>
              </w:rPr>
            </w:pPr>
          </w:p>
        </w:tc>
      </w:tr>
      <w:tr>
        <w:trPr>
          <w:trHeight w:val="21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0" w:type="dxa"/>
            <w:vAlign w:val="bottom"/>
          </w:tcPr>
          <w:p>
            <w:pPr>
              <w:spacing w:after="0"/>
              <w:rPr>
                <w:sz w:val="1"/>
                <w:szCs w:val="1"/>
                <w:color w:val="auto"/>
              </w:rPr>
            </w:pPr>
          </w:p>
        </w:tc>
      </w:tr>
      <w:tr>
        <w:trPr>
          <w:trHeight w:val="21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ind w:left="240"/>
              <w:spacing w:after="0" w:line="178"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settlements of stock-based</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awards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6"/>
        </w:trPr>
        <w:tc>
          <w:tcPr>
            <w:tcW w:w="31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Repurchases of common stock</w:t>
            </w:r>
            <w:r>
              <w:rPr>
                <w:rFonts w:ascii="Times New Roman" w:cs="Times New Roman" w:eastAsia="Times New Roman" w:hAnsi="Times New Roman"/>
                <w:sz w:val="21"/>
                <w:szCs w:val="21"/>
                <w:color w:val="auto"/>
                <w:vertAlign w:val="superscript"/>
              </w:rPr>
              <w:t>(1)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46,192,457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688,619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648,107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500" w:hanging="168"/>
        <w:spacing w:after="0"/>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adjustments for net excise tax liability</w:t>
      </w:r>
    </w:p>
    <w:p>
      <w:pPr>
        <w:spacing w:after="0" w:line="50" w:lineRule="exact"/>
        <w:rPr>
          <w:rFonts w:ascii="Times New Roman" w:cs="Times New Roman" w:eastAsia="Times New Roman" w:hAnsi="Times New Roman"/>
          <w:sz w:val="21"/>
          <w:szCs w:val="21"/>
          <w:color w:val="auto"/>
          <w:vertAlign w:val="superscript"/>
        </w:rPr>
      </w:pPr>
    </w:p>
    <w:p>
      <w:pPr>
        <w:ind w:left="500" w:hanging="168"/>
        <w:spacing w:after="0" w:line="191" w:lineRule="auto"/>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for rounding</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20" w:type="dxa"/>
            <w:vAlign w:val="bottom"/>
          </w:tcPr>
          <w:p>
            <w:pPr>
              <w:spacing w:after="0"/>
              <w:rPr>
                <w:sz w:val="18"/>
                <w:szCs w:val="18"/>
                <w:color w:val="auto"/>
              </w:rPr>
            </w:pPr>
          </w:p>
        </w:tc>
        <w:tc>
          <w:tcPr>
            <w:tcW w:w="218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Accumulated Other</w:t>
            </w:r>
          </w:p>
        </w:tc>
        <w:tc>
          <w:tcPr>
            <w:tcW w:w="120" w:type="dxa"/>
            <w:vAlign w:val="bottom"/>
          </w:tcPr>
          <w:p>
            <w:pPr>
              <w:spacing w:after="0"/>
              <w:rPr>
                <w:sz w:val="18"/>
                <w:szCs w:val="18"/>
                <w:color w:val="auto"/>
              </w:rPr>
            </w:pPr>
          </w:p>
        </w:tc>
        <w:tc>
          <w:tcPr>
            <w:tcW w:w="11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12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Outstanding</w:t>
            </w: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Retained</w:t>
            </w:r>
          </w:p>
        </w:tc>
        <w:tc>
          <w:tcPr>
            <w:tcW w:w="16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Treasury</w:t>
            </w:r>
          </w:p>
        </w:tc>
        <w:tc>
          <w:tcPr>
            <w:tcW w:w="15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w w:val="97"/>
              </w:rPr>
              <w:t>1 Par Value</w:t>
            </w:r>
          </w:p>
        </w:tc>
        <w:tc>
          <w:tcPr>
            <w:tcW w:w="11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Excess of Par</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14"/>
                <w:szCs w:val="14"/>
                <w:color w:val="auto"/>
              </w:rPr>
            </w:pPr>
          </w:p>
        </w:tc>
        <w:tc>
          <w:tcPr>
            <w:tcW w:w="11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Shares</w:t>
            </w: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4"/>
              </w:rPr>
              <w:t>Value</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Deficit</w:t>
            </w: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Income (Loss)</w:t>
            </w:r>
          </w:p>
        </w:tc>
        <w:tc>
          <w:tcPr>
            <w:tcW w:w="12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46,856,757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(19,631)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640,543</w:t>
            </w:r>
          </w:p>
        </w:tc>
        <w:tc>
          <w:tcPr>
            <w:tcW w:w="0" w:type="dxa"/>
            <w:vAlign w:val="bottom"/>
          </w:tcPr>
          <w:p>
            <w:pPr>
              <w:spacing w:after="0"/>
              <w:rPr>
                <w:sz w:val="1"/>
                <w:szCs w:val="1"/>
                <w:color w:val="auto"/>
              </w:rPr>
            </w:pPr>
          </w:p>
        </w:tc>
      </w:tr>
      <w:tr>
        <w:trPr>
          <w:trHeight w:val="21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13"/>
        </w:trPr>
        <w:tc>
          <w:tcPr>
            <w:tcW w:w="3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issued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16"/>
        </w:trPr>
        <w:tc>
          <w:tcPr>
            <w:tcW w:w="31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Repurchases of common stock</w:t>
            </w:r>
            <w:r>
              <w:rPr>
                <w:rFonts w:ascii="Times New Roman" w:cs="Times New Roman" w:eastAsia="Times New Roman" w:hAnsi="Times New Roman"/>
                <w:sz w:val="21"/>
                <w:szCs w:val="21"/>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8"/>
              </w:rPr>
              <w:t>(11,203)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0" w:type="dxa"/>
            <w:vAlign w:val="bottom"/>
          </w:tcPr>
          <w:p>
            <w:pPr>
              <w:spacing w:after="0"/>
              <w:rPr>
                <w:sz w:val="1"/>
                <w:szCs w:val="1"/>
                <w:color w:val="auto"/>
              </w:rPr>
            </w:pP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46,567,929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636,713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500" w:hanging="168"/>
        <w:spacing w:after="0"/>
        <w:tabs>
          <w:tab w:leader="none" w:pos="5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adjustments for net excise tax liability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to net cash used in operating activities: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loss on sale of rental equipment</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loss on sale of property, plant and equipment</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Charge for step-up of acquired inventory</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realizable value adjustment and write-offs for obsolete and excess inventory</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Bad debt expense</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(29,587)</w:t>
            </w: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213"/>
        </w:trPr>
        <w:tc>
          <w:tcPr>
            <w:tcW w:w="7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(20,359)</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0" w:type="dxa"/>
            <w:vAlign w:val="bottom"/>
          </w:tcPr>
          <w:p>
            <w:pPr>
              <w:spacing w:after="0"/>
              <w:rPr>
                <w:sz w:val="1"/>
                <w:szCs w:val="1"/>
                <w:color w:val="auto"/>
              </w:rPr>
            </w:pPr>
          </w:p>
        </w:tc>
      </w:tr>
      <w:tr>
        <w:trPr>
          <w:trHeight w:val="194"/>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rental equipment</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rental equipment</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0" w:type="dxa"/>
            <w:vAlign w:val="bottom"/>
          </w:tcPr>
          <w:p>
            <w:pPr>
              <w:spacing w:after="0"/>
              <w:rPr>
                <w:sz w:val="1"/>
                <w:szCs w:val="1"/>
                <w:color w:val="auto"/>
              </w:rPr>
            </w:pPr>
          </w:p>
        </w:tc>
      </w:tr>
      <w:tr>
        <w:trPr>
          <w:trHeight w:val="207"/>
        </w:trPr>
        <w:tc>
          <w:tcPr>
            <w:tcW w:w="7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(21,824)</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0" w:type="dxa"/>
            <w:vAlign w:val="bottom"/>
          </w:tcPr>
          <w:p>
            <w:pPr>
              <w:spacing w:after="0"/>
              <w:rPr>
                <w:sz w:val="1"/>
                <w:szCs w:val="1"/>
                <w:color w:val="auto"/>
              </w:rPr>
            </w:pPr>
          </w:p>
        </w:tc>
      </w:tr>
      <w:tr>
        <w:trPr>
          <w:trHeight w:val="19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revolving lines of credit</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139,496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93,502</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on revolving lines of credit</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(65,334)</w:t>
            </w: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term loans</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(10,063)</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0" w:type="dxa"/>
            <w:vAlign w:val="bottom"/>
          </w:tcPr>
          <w:p>
            <w:pPr>
              <w:spacing w:after="0"/>
              <w:rPr>
                <w:sz w:val="1"/>
                <w:szCs w:val="1"/>
                <w:color w:val="auto"/>
              </w:rPr>
            </w:pPr>
          </w:p>
        </w:tc>
      </w:tr>
      <w:tr>
        <w:trPr>
          <w:trHeight w:val="21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repurchased held in treasury</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 option exercises</w:t>
            </w:r>
          </w:p>
        </w:tc>
        <w:tc>
          <w:tcPr>
            <w:tcW w:w="1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Payment of financing lease principal</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32,046</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0" w:type="dxa"/>
            <w:vAlign w:val="bottom"/>
          </w:tcPr>
          <w:p>
            <w:pPr>
              <w:spacing w:after="0"/>
              <w:rPr>
                <w:sz w:val="1"/>
                <w:szCs w:val="1"/>
                <w:color w:val="auto"/>
              </w:rPr>
            </w:pPr>
          </w:p>
        </w:tc>
      </w:tr>
      <w:tr>
        <w:trPr>
          <w:trHeight w:val="207"/>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cash equivalents and restricted cash</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75,326</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81,726</w:t>
            </w:r>
          </w:p>
        </w:tc>
        <w:tc>
          <w:tcPr>
            <w:tcW w:w="0" w:type="dxa"/>
            <w:vAlign w:val="bottom"/>
          </w:tcPr>
          <w:p>
            <w:pPr>
              <w:spacing w:after="0"/>
              <w:rPr>
                <w:sz w:val="1"/>
                <w:szCs w:val="1"/>
                <w:color w:val="auto"/>
              </w:rPr>
            </w:pPr>
          </w:p>
        </w:tc>
      </w:tr>
      <w:tr>
        <w:trPr>
          <w:trHeight w:val="237"/>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64,997</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80" w:type="dxa"/>
            <w:vAlign w:val="bottom"/>
            <w:vMerge w:val="continue"/>
          </w:tcPr>
          <w:p>
            <w:pPr>
              <w:spacing w:after="0"/>
              <w:rPr>
                <w:sz w:val="16"/>
                <w:szCs w:val="16"/>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52,729</w:t>
            </w:r>
          </w:p>
        </w:tc>
        <w:tc>
          <w:tcPr>
            <w:tcW w:w="100" w:type="dxa"/>
            <w:vAlign w:val="bottom"/>
          </w:tcPr>
          <w:p>
            <w:pPr>
              <w:spacing w:after="0"/>
              <w:rPr>
                <w:sz w:val="16"/>
                <w:szCs w:val="16"/>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12,268</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14,595</w:t>
            </w:r>
          </w:p>
        </w:tc>
        <w:tc>
          <w:tcPr>
            <w:tcW w:w="0" w:type="dxa"/>
            <w:vAlign w:val="bottom"/>
          </w:tcPr>
          <w:p>
            <w:pPr>
              <w:spacing w:after="0"/>
              <w:rPr>
                <w:sz w:val="1"/>
                <w:szCs w:val="1"/>
                <w:color w:val="auto"/>
              </w:rPr>
            </w:pPr>
          </w:p>
        </w:tc>
      </w:tr>
      <w:tr>
        <w:trPr>
          <w:trHeight w:val="212"/>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80,037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Solutions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6"/>
        </w:trPr>
        <w:tc>
          <w:tcPr>
            <w:tcW w:w="7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paid for income taxes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paid for interest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13,312</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paid for interest on supply chain financing</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59"/>
        </w:trPr>
        <w:tc>
          <w:tcPr>
            <w:tcW w:w="76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activities: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Additions of property, plant and equipment included in accounts payable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Right of use assets obtained in exchange for finance lease liabilities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Right of use assets obtained in exchange for operating lease liabilities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18,414</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Basis of Presentation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 Solutions Group, Inc. (“DSG”), a Delaware corporation, is a global specialty distribution company providing value added distribution solutions to the maintenance, repair and operations (“MRO”), original equipment manufacturer (“OEM”) and industrial technology markets.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“DSG”, the “Company”, “we”, “our” or “us” refer to Distribution Solutions Group, Inc., and all entities consolidated in the accompanying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nature of operations for our reportable segments is presented below</w:t>
      </w:r>
      <w:r>
        <w:rPr>
          <w:rFonts w:ascii="Times New Roman" w:cs="Times New Roman" w:eastAsia="Times New Roman" w:hAnsi="Times New Roman"/>
          <w:sz w:val="18"/>
          <w:szCs w:val="18"/>
          <w:color w:val="EE2724"/>
        </w:rPr>
        <w:t>.</w:t>
      </w:r>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industrial MRO supplies, safety products, fasteners, power tools and related value-add services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MRO market through the sale of products and services via warehouse shipments and to its walk-up customers through 35 branch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Eastern Valve Acquisition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9, 2026, DSG acquired all of the issued and outstanding stock of Eastern Valve &amp; Control Specialties Ltd. (“Eastern Valve” and the “Eastern Valve Transaction”). Eastern Valve is located in Paradise, Newfoundland, Canada and supplies and services industrial valve products throughout Atlantic Canada. The total purchase consideration exchanged was $16.2 million, net of cash acquired of $0.1 million. DSG funded the Eastern Valve Transaction with borrowings under its Amended Credit Agreement. Refer to Note 3 – Business Acquisitions for additional information about Eastern Valve and the Eastern Valve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the instructions to Form 10-Q and Article 10 of Regulation S-X. Accordingly, they do not contain all disclosures required by GAAP for complete consolidated financial statements. These unaudited condensed consolidated financial statements should be read in conjunction with DSG’s audited consolidated financial statements and accompanying notes included in its Annual Report on Form 10-K for the year ended December 31, 2025, filed with the U.S. Securities and Exchange Commission (“SEC”). All normal recurring adjustments have been made that are necessary to fairly state the results of operations for the interim periods. Operating results for the three months ended March 31, 2026, are not necessarily indicative of the results that may be expected for the year ending December 31, 2026.</w:t>
      </w:r>
    </w:p>
    <w:p>
      <w:pPr>
        <w:spacing w:after="0" w:line="21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Period-end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its consolidated subsidiaries, except for the subsidiaries in the Gexpro Services segment, operate on a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year-end. Gexpro Services operates on a calendar year-end for annual reporting purposes.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quarterly financial statements for Gexpro Services are prepared on financial close dates that may differ from that of the Company. For the quarter ended March 31, 2026, there was a three day difference in the period end. The consolidated financial statement impact of the three day difference arising from the different period ends for the quarter ended March 31, 2026 was not material. The Company utilizes the exchange rates in effect at Gexpro Services’ reporting date and the appropriate weighted-average rate for its fiscal reporting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to the Company’s accounting policies from those disclosed in DSG’s Annual Report on Form 10-K for the year ended December 31, 2025. See Note 2 of the 2025 consolidated financial statements included in DSG’s Annual Report on Form 10-K for the year ended December 31, 2025 for further details of the Company’s significant accounting policies.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(the “FASB”) or other standards setting bodies issue new accounting pronouncements. The FASB issues updates to new accounting pronouncements through the issuance of an Accounting Standards Update (“ASU”). The Company does not discuss recent pronouncements that are not anticipated to have an impact on, or are unrelated to, its consolidated financial condition, results of operations, cash flows or disclosures.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all entities with a practical expedient to assume that current conditions as of the balance sheet date do not change for the remaining life of the assets. The pronouncement is effective on a prospective basis for interim and annual reporting periods beginning after December 15, 2025, with early adoption permitted. The Company adopted this guidance on January 1, 2026. The adoption had no material impact on the Company’s financial condition, results of operations or cash flows.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which requires disclosure of disaggregated information about certain income statement expense line items within the notes to the consolidated financial statements. The FASB further clarified the effective date in January 2025 with the issuance of ASU 2025-01, Income Statement - Reporting Comprehensive Income - Expense Disaggregation Disclosures (Subtopic 220-40): Clarifying the Effective Date. The pronouncement is effective for annual reporting periods beginning after December 15, 2026 and interim reporting periods beginning after December 15, 2027, with early adoption permitted. The Company is currently evaluating the impact of the adoption on its financial statement disclosures.</w:t>
      </w:r>
    </w:p>
    <w:p>
      <w:pPr>
        <w:spacing w:after="0" w:line="214"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Property, Plant, and Equipment. The pronouncement is effective for interim and annual reporting periods beginning after December 15, 2027, and can be applied prospectively, retrospectively, or using a modified transition method, with early adoption permitted. The Company is currently evaluating the impact of the adoption on its financial statement disclosures.</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The pronouncement is effective for interim reporting periods within annual reporting periods beginning after December 15, 2027, and can be applied prospectively or retrospectively, with early adoption permitted. The Company is currently evaluating the impact of the adoption on its financial statement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Acquisitions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DSG and its operating companies acquired one business during the first quarter of 2026. The acquisition was accounted for under ASC 805, the acquisition method of accounting. The allocation of consideration exchanged to the assets acquired and liabilities assumed was based on estimated acquisition-date fair values. The final valuations will be completed within the one-year measurement period following the acquisition date, and any adjustments will be recorded in the period in which the adjustments are determined.</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9, 2026, DSG acquired all of the issued and outstanding stock of Eastern Valve &amp; Control Specialties Ltd. (“Eastern Valve”), with a purchase price of approximately $16.2 million, net of cash acquired of $0.1 million. Eastern Valve is located in Paradise, Newfoundland, Canada and supplies and services industrial valve products throughout Atlantic Canada. Eastern Valve was acquired to expand DSG’s operating footprint in the Canadian market. The results of operations of Eastern Valve are included within the Canada Branch Division reportable segment. The acquisition was funded with borrowings under the Company’s Amended Credit Agreement. Refer to Note 9 – Debt for information about the Amended Credit Agreement.</w:t>
      </w:r>
    </w:p>
    <w:p>
      <w:pPr>
        <w:spacing w:after="0" w:line="21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allocation of consideration exchanged to the estimated fair values of assets acquired and liabilities assumed, including the allocation to other intangible assets acquired: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Eastern Valve</w:t>
            </w:r>
          </w:p>
        </w:tc>
      </w:tr>
      <w:tr>
        <w:trPr>
          <w:trHeight w:val="169"/>
        </w:trPr>
        <w:tc>
          <w:tcPr>
            <w:tcW w:w="9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March 9, 2026</w:t>
            </w:r>
          </w:p>
        </w:tc>
      </w:tr>
      <w:tr>
        <w:trPr>
          <w:trHeight w:val="24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Acquisition Date</w:t>
            </w:r>
          </w:p>
        </w:tc>
      </w:tr>
      <w:tr>
        <w:trPr>
          <w:trHeight w:val="226"/>
        </w:trPr>
        <w:tc>
          <w:tcPr>
            <w:tcW w:w="95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30"/>
        </w:trPr>
        <w:tc>
          <w:tcPr>
            <w:tcW w:w="9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net of deferred tax asset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16,241</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2"/>
        </w:trPr>
        <w:tc>
          <w:tcPr>
            <w:tcW w:w="9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30"/>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16,241</w:t>
            </w:r>
          </w:p>
        </w:tc>
      </w:tr>
      <w:tr>
        <w:trPr>
          <w:trHeight w:val="95"/>
        </w:trPr>
        <w:tc>
          <w:tcPr>
            <w:tcW w:w="95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40" w:type="dxa"/>
            <w:vAlign w:val="bottom"/>
            <w:tcBorders>
              <w:bottom w:val="single" w:sz="8" w:color="auto"/>
            </w:tcBorders>
            <w:shd w:val="clear" w:color="auto" w:fill="CCEEFF"/>
          </w:tcPr>
          <w:p>
            <w:pPr>
              <w:spacing w:after="0"/>
              <w:rPr>
                <w:sz w:val="8"/>
                <w:szCs w:val="8"/>
                <w:color w:val="auto"/>
              </w:rPr>
            </w:pP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exchanged, net of cash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16,241</w:t>
            </w:r>
          </w:p>
        </w:tc>
      </w:tr>
      <w:tr>
        <w:trPr>
          <w:trHeight w:val="20"/>
        </w:trPr>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480" w:hanging="148"/>
        <w:spacing w:after="0"/>
        <w:tabs>
          <w:tab w:leader="none" w:pos="4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fair value of accounts receivable approximated the gross contractual value.</w:t>
      </w: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estimated values for the Eastern Valve Transaction, including working capital and other adjustments to the initial balance sheet, the valuation of intangibles and property, plant and equipment and income taxes are not yet finalized, and the preliminary purchase price allocation is subject to change as the Company completes its analysis of the fair value at the date of acquisition.</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customer relationships and trade names intangible assets have estimated useful lives of 10 years and 8 years, respectively. Goodwill generated from Eastern Valve Transaction is not deductible for tax purposes and is primarily attributable to the benefits we expect to derive from expected synergies, including expanded product and service offerings and cross-selling opportunities.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estimated unaudited pro forma consolidated financial information for DSG as if our 2026 acquisition of Eastern Valve disclosed above occurred on January 1, 2025. The unaudited pro forma information reflects adjustments including amortization on acquired intangible assets, interest expense, and the related tax effects. This information is presented for informational purposes only and is not necessarily indicative of future results or the results that would have occurred had the acquisition been completed on January 1, 2025.</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498,444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480,376</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(25,831)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Results of Business Acquisition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actual results attributable to our 2026 acquisition of Eastern Valve that were included in the unaudited condensed consolidated financial statements for the first quarter of 2026. The results for the business acquired in this acquisition are only included in the following table for the portion of the three-month period that is subsequent to its March 9, 2026 acquisition date.</w:t>
      </w:r>
    </w:p>
    <w:p>
      <w:pPr>
        <w:spacing w:after="0" w:line="5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Company incurred transaction and integration costs related to completed and contemplated acquisitions of $0.8 million and $0.1 million for the three months ended March 31, 2026 and 2025, respectively, which are included in Selling, general and administrative expenses in the Unaudited Condensed Consolidated Statements of Operations and Comprehensive Income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 is primarily comprised of product sales to customers. The Company has disaggregated revenue by geographic area and by segment as it most reasonably depicts the amount, timing and uncertainty of revenue and cash flows generated from our contracts with customers. Disaggregated consolidated revenue by geographic area (based on the location to which the product is shipped to):</w:t>
      </w:r>
    </w:p>
    <w:p>
      <w:pPr>
        <w:spacing w:after="0" w:line="5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357,132</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Pacific Rim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28,637</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495,995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478,029</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13 – Segment Information for disaggregation of revenue by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TestEquity rents new and used electronic test and measurement equipment to customers in multiple industries. Lawson leases parts washer machines to customers. This leased equipment is included in Rental equipment, net in the Unaudited Condensed Consolidated Balance Sheets, and rental revenue is included in Revenue in the Unaudited Condensed Consolidated Statements of Operations and Comprehensive Income (Loss). The unearned rental revenue related to customer prepayments on equipment leases was nominal at March 31, 2026 and December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revenue from operating leases:</w:t>
      </w:r>
    </w:p>
    <w:p>
      <w:pPr>
        <w:spacing w:after="0" w:line="4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operating leases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Supplemental Financial Statement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maintain restricted cash of $12.3 million under agreements with outside parties. Escrow accounts were established in conjunction with certain business acquisitions, to be released upon meeting certain working capital and other post-closing requirements as of the contractual post-acquisition dates with a balance of $3.7 million at March 31, 2026. The Company is restricted from withdrawing this balance without the prior consent of the sellers. The remaining restricted cash balance of $8.6 million represents collateral for certain borrowings under the Amended Credit Agreement, and the Company is restricted from withdrawing this balance without the prior consent of the respective lenders.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Components of property, plant and equipment, net were as follows: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62,750</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195,423</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(68,818)</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126,605</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80" w:hanging="248"/>
        <w:spacing w:after="0" w:line="232" w:lineRule="auto"/>
        <w:tabs>
          <w:tab w:leader="none" w:pos="56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Construction in progress primarily relates to upgrades to certain of the Company’s information technology systems and distribution facilities that we expect to place in service in the next twelve months.</w:t>
      </w:r>
    </w:p>
    <w:p>
      <w:pPr>
        <w:spacing w:after="0" w:line="2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plant and equipment and amortization expense for capitalized software, which are included in Selling, general and administrative expenses in the Unaudited Condensed Consolidated Statements of Operations and Comprehensive Income (Loss), were as follows:</w:t>
      </w:r>
    </w:p>
    <w:p>
      <w:pPr>
        <w:spacing w:after="0" w:line="3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property, plant and equipment</w:t>
            </w: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 for capitalized software</w:t>
            </w:r>
          </w:p>
        </w:tc>
        <w:tc>
          <w:tcPr>
            <w:tcW w:w="8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54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Rental Equipment, net</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equipment, net consisted of the following:</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69,714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68,401</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(30,484)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(29,445)</w:t>
            </w:r>
          </w:p>
        </w:tc>
      </w:tr>
      <w:tr>
        <w:trPr>
          <w:trHeight w:val="248"/>
        </w:trPr>
        <w:tc>
          <w:tcPr>
            <w:tcW w:w="7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Rental equipment,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39,230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rental equipment, which is included in Cost of goods sold in the Unaudited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(Loss), was as follows: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rental equipment</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553"/>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a discussion on the Company’s activities as lessor.</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withheld taxes, other than income taxes</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rebates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payments and accrued earnout liabilities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health benefits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and acquisition related retention bonus</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stock-based compensation</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0" w:type="dxa"/>
            <w:vAlign w:val="bottom"/>
          </w:tcPr>
          <w:p>
            <w:pPr>
              <w:spacing w:after="0"/>
              <w:rPr>
                <w:sz w:val="1"/>
                <w:szCs w:val="1"/>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76,830</w:t>
            </w: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bonus plan</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0" w:type="dxa"/>
            <w:vAlign w:val="bottom"/>
          </w:tcPr>
          <w:p>
            <w:pPr>
              <w:spacing w:after="0"/>
              <w:rPr>
                <w:sz w:val="1"/>
                <w:szCs w:val="1"/>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25,217</w:t>
            </w: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segment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220" w:type="dxa"/>
            <w:vAlign w:val="bottom"/>
          </w:tcPr>
          <w:p>
            <w:pPr>
              <w:spacing w:after="0"/>
              <w:rPr>
                <w:sz w:val="18"/>
                <w:szCs w:val="18"/>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120" w:type="dxa"/>
            <w:vAlign w:val="bottom"/>
          </w:tcPr>
          <w:p>
            <w:pPr>
              <w:spacing w:after="0"/>
              <w:rPr>
                <w:sz w:val="18"/>
                <w:szCs w:val="18"/>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Gexpro Services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Canada Branch</w:t>
            </w:r>
          </w:p>
        </w:tc>
        <w:tc>
          <w:tcPr>
            <w:tcW w:w="320" w:type="dxa"/>
            <w:vAlign w:val="bottom"/>
          </w:tcPr>
          <w:p>
            <w:pPr>
              <w:spacing w:after="0"/>
              <w:rPr>
                <w:sz w:val="18"/>
                <w:szCs w:val="18"/>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467,905</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164,880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474,529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for definite-lived intangible assets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color w:val="auto"/>
                <w:w w:val="99"/>
              </w:rPr>
              <w:t>Gross Carrying</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color w:val="auto"/>
              </w:rPr>
              <w:t>Accumulated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Net Carrying Value</w:t>
            </w:r>
          </w:p>
        </w:tc>
        <w:tc>
          <w:tcPr>
            <w:tcW w:w="140" w:type="dxa"/>
            <w:vAlign w:val="bottom"/>
          </w:tcPr>
          <w:p>
            <w:pPr>
              <w:spacing w:after="0"/>
              <w:rPr>
                <w:sz w:val="13"/>
                <w:szCs w:val="13"/>
                <w:color w:val="auto"/>
              </w:rPr>
            </w:pPr>
          </w:p>
        </w:tc>
        <w:tc>
          <w:tcPr>
            <w:tcW w:w="1240" w:type="dxa"/>
            <w:vAlign w:val="bottom"/>
          </w:tcPr>
          <w:p>
            <w:pPr>
              <w:jc w:val="right"/>
              <w:ind w:right="113"/>
              <w:spacing w:after="0" w:line="155" w:lineRule="exact"/>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color w:val="auto"/>
              </w:rPr>
              <w:t>Accumulated</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 Value</w:t>
            </w:r>
          </w:p>
        </w:tc>
        <w:tc>
          <w:tcPr>
            <w:tcW w:w="0" w:type="dxa"/>
            <w:vAlign w:val="bottom"/>
          </w:tcPr>
          <w:p>
            <w:pPr>
              <w:spacing w:after="0"/>
              <w:rPr>
                <w:sz w:val="1"/>
                <w:szCs w:val="1"/>
                <w:color w:val="auto"/>
              </w:rPr>
            </w:pPr>
          </w:p>
        </w:tc>
      </w:tr>
      <w:tr>
        <w:trPr>
          <w:trHeight w:val="213"/>
        </w:trPr>
        <w:tc>
          <w:tcPr>
            <w:tcW w:w="2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Amortization</w:t>
            </w:r>
          </w:p>
        </w:tc>
        <w:tc>
          <w:tcPr>
            <w:tcW w:w="15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Amortization</w:t>
            </w: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143,503</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226,055</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primarily consists of non-compete agreements.</w:t>
      </w:r>
    </w:p>
    <w:p>
      <w:pPr>
        <w:spacing w:after="0" w:line="2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definite-lived intangible assets is included in Selling, general and administrative expenses in the Unaudited Condensed Consolidated Statements of Operations and Comprehensive Income (Loss) as follows:</w:t>
      </w:r>
    </w:p>
    <w:p>
      <w:pPr>
        <w:spacing w:after="0" w:line="27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for intangible assets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aggregate amortization expense for the remaining year 2026 and each of the next four years and thereafter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Amortization</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39,072</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31,082</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58,833</w:t>
            </w:r>
          </w:p>
        </w:tc>
      </w:tr>
      <w:tr>
        <w:trPr>
          <w:trHeight w:val="248"/>
        </w:trPr>
        <w:tc>
          <w:tcPr>
            <w:tcW w:w="9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218,111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Company leases property used for warehousing, distribution centers, office space, branch locations, equipment and vehicles. The components of lease cost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Type</w:t>
            </w:r>
          </w:p>
        </w:tc>
        <w:tc>
          <w:tcPr>
            <w:tcW w:w="25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40" w:type="dxa"/>
            <w:vAlign w:val="bottom"/>
          </w:tcPr>
          <w:p>
            <w:pPr>
              <w:spacing w:after="0"/>
              <w:rPr>
                <w:sz w:val="19"/>
                <w:szCs w:val="19"/>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5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amortization</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interest</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lease expense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4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3"/>
                <w:szCs w:val="23"/>
                <w:color w:val="auto"/>
                <w:vertAlign w:val="superscript"/>
              </w:rPr>
              <w:t>(2)</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r>
      <w:tr>
        <w:trPr>
          <w:trHeight w:val="21"/>
        </w:trPr>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560" w:hanging="228"/>
        <w:spacing w:after="0"/>
        <w:tabs>
          <w:tab w:leader="none" w:pos="5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short-term lease expense, which is immaterial.</w:t>
      </w:r>
    </w:p>
    <w:p>
      <w:pPr>
        <w:spacing w:after="0" w:line="50" w:lineRule="exact"/>
        <w:rPr>
          <w:rFonts w:ascii="Times New Roman" w:cs="Times New Roman" w:eastAsia="Times New Roman" w:hAnsi="Times New Roman"/>
          <w:sz w:val="21"/>
          <w:szCs w:val="21"/>
          <w:color w:val="auto"/>
          <w:vertAlign w:val="superscript"/>
        </w:rPr>
      </w:pPr>
    </w:p>
    <w:p>
      <w:pPr>
        <w:ind w:left="580" w:hanging="248"/>
        <w:spacing w:after="0" w:line="222" w:lineRule="auto"/>
        <w:tabs>
          <w:tab w:leader="none" w:pos="56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subleases excess property to third-party tenants. Sublease income is recognized on a straight-line basis over the sublease agreement and is recorded as an offset to operating lease expense.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value of net assets and liabilities related to our operating and finance leases as of March 31, 2026 and December 31, 2025 was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Type</w:t>
            </w: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right of use operating lease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111,117</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right of use financing lease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48"/>
        </w:trPr>
        <w:tc>
          <w:tcPr>
            <w:tcW w:w="7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operating lease obligation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w:t>
            </w:r>
          </w:p>
        </w:tc>
      </w:tr>
      <w:tr>
        <w:trPr>
          <w:trHeight w:val="229"/>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financing lease obligation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48"/>
        </w:trPr>
        <w:tc>
          <w:tcPr>
            <w:tcW w:w="7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lease obligation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operating lease obligation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98,022</w:t>
            </w:r>
          </w:p>
        </w:tc>
      </w:tr>
      <w:tr>
        <w:trPr>
          <w:trHeight w:val="229"/>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financing lease obligation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48"/>
        </w:trPr>
        <w:tc>
          <w:tcPr>
            <w:tcW w:w="7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obligation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lease liabilities related to our operating and finance leases and sublease income as of March 31, 2026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Date of Lease Liabilities</w:t>
            </w: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40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Sublease Income</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9"/>
        </w:trPr>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lease terms and interest rates of leases held as of March 31, 2026 and December 31, 2025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66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5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000" w:type="dxa"/>
            <w:vAlign w:val="bottom"/>
          </w:tcPr>
          <w:p>
            <w:pPr>
              <w:spacing w:after="0"/>
              <w:rPr>
                <w:sz w:val="19"/>
                <w:szCs w:val="19"/>
                <w:color w:val="auto"/>
              </w:rPr>
            </w:pPr>
          </w:p>
        </w:tc>
        <w:tc>
          <w:tcPr>
            <w:tcW w:w="18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100" w:type="dxa"/>
            <w:vAlign w:val="bottom"/>
          </w:tcPr>
          <w:p>
            <w:pPr>
              <w:spacing w:after="0"/>
              <w:rPr>
                <w:sz w:val="19"/>
                <w:szCs w:val="19"/>
                <w:color w:val="auto"/>
              </w:rPr>
            </w:pPr>
          </w:p>
        </w:tc>
        <w:tc>
          <w:tcPr>
            <w:tcW w:w="18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 years</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 years</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 years</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7.4%</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7.0%</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7.5%</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w:t>
            </w: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outflows of leasing activity for the three months ended March 31, 2026 and 2025 were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Source</w:t>
            </w:r>
          </w:p>
        </w:tc>
        <w:tc>
          <w:tcPr>
            <w:tcW w:w="24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40" w:type="dxa"/>
            <w:vAlign w:val="bottom"/>
          </w:tcPr>
          <w:p>
            <w:pPr>
              <w:spacing w:after="0"/>
              <w:rPr>
                <w:sz w:val="19"/>
                <w:szCs w:val="19"/>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a discussion on the Company’s activities as lessor.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59"/>
        </w:trPr>
        <w:tc>
          <w:tcPr>
            <w:tcW w:w="7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outstanding long-term debt was comprised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revolving line of credit</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3"/>
        </w:trPr>
        <w:tc>
          <w:tcPr>
            <w:tcW w:w="7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704,418</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48"/>
        </w:trPr>
        <w:tc>
          <w:tcPr>
            <w:tcW w:w="7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664,196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18, 2025, the Company entered into the Second Amended and Restated Credit Agreement (the “Amended Credit Agreement”), which amended and restated the Amended and Restated Credit Agreement, dated as of April 1, 2022 (as it had been amended from time to time prior to the date of the Amended Credit Agreement, the “Original Credit Agreement”), by and among the Company, certain subsidiaries of the Company as borrowers or guarantors, the lenders party thereto and JPMorgan Chase Bank, N.A., as administrative agent.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amended, the Amended Credit Agreement provides for (i) a $400 million senior secured revolving credit facility, with a $25 million letter of credit sub-facility and a $10 million swingline loan sub-facility, (ii) a $700 million senior secured initial term loan facility and (iii) the Company to increase the commitments thereunder from time to time by up to $500 million in the aggregate, subject to, among other things, the receipt of additional commitments from existing and/or new lenders and pro forma compliance with certain financial covenants.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Amended Credit Agreement requires that the proceeds of any revolving credit facility loans be used for working capital and general corporate purposes (including, without limitation, permitted acquisitions).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unused outstanding letters of credit of $4.8 million as of March 31, 2026. Net of these letters of credit, there was $350.2 million of borrowing availability under the revolving credit facility as of March 31, 2026.</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loans under the Amended Credit Agreement bear interest, at the Company’s option, at a rate equal to (i) the Alternate Base Rate or the Canadian Prime Rate (each as defined in the Amended Credit Agreement), plus, in each case, an additional margin ranging from 0.00% to 1.75% per annum, depending on the total net leverage ratio of the Company and its restricted subsidiaries as of the most recent determination date under the Amended Credit Agreement or (ii) the Adjusted Term SOFR Rate or Adjusted Daily Simple SOFR (as defined in the Amended Credit Agreement), plus an additional margin ranging from 1.00% to 2.75% per annum, depending on the total net leverage ratio of the Company and its restricted subsidiaries as of the most recent determination date under the Amended Credit Agreement. The Amended Credit Agreement further provides that the additional margin for the period from the Effective Date (as defined in the Amended Credit Agreement) until delivery of the Company’s financial statements and compliance certificate for the first full quarter ending after the Effective Date shall be 1.50% per annum for Alternate Base Rate or Canadian Prime Rate loans and 2.50% per annum for all other loans.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Amended Credit Agreement requires the Company to pay certain closing fees, arrangement fees, administration fees, commitment fees and letter of credit fees, including a commitment fee on the daily unused amount of the revolving credit facility that will accrue at a rate ranging from 0.15% to 0.35% per annum, depending on the total net leverage ratio of the Company. These fees are reported as a component of Interest expense in the Unaudited Condensed Consolidated Statements of Operations and Comprehensive Income (Loss) and vary depending on the total net leverage ratio as defined in the Amended Credit Agreement. Fees were nominal in 2026 and 2025.</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financing costs are amortized over the life of the debt instrument and reported as a component of Interest expense in the Unaudited Condensed Consolidated Statements of Operations and Comprehensive Income (Loss). Amortization of deferred financing costs was $0.4 million and $0.9 million for the three months ended March 31, 2026 and 2025, respectively. As of March 31, 2026, total deferred financing costs net of accumulated amortization were $8.3 million of which $4.5 million are included in Long-term debt, less current portion, net (related to the senior secured term loan) and $3.8 million are included in Other assets (related to the senior secured revolving credit facility) in the Unaudited Condensed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of the loans under the Amended Credit Agreement mature on December 18, 2030, at which time all outstanding loans, together with all accrued and unpaid interest, must be repaid and the revolving credit facility commitments will terminate. Future maturities of long-term debt are $35.0 million per year payable in equal quarterly installments during 2026, 2027, 2028 and 2029, with the remaining balance of $604.9 million due in 2030 upon maturity. The Company is also required to prepay the term loans with the net cash proceeds from any disposition of certain assets (subject to reinvestment rights) or from the incurrence of any unpermitted debt. The Company may borrow, repay and reborrow the revolving loans until December 18, 2030, prepay any of the term loans, and terminate any of the commitments, in whole or in part, at any time without premium or penalty, subject to certain conditions and the reimbursement of certain lender costs in the case of prepayments of certain types of loans.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exceptions as set forth in the Amended Credit Agreement, the obligations of the Company and its U.S. subsidiaries under the Amended Credit Agreement are guaranteed by the Company and certain of the Company’s U.S. subsidiaries and the obligations of each of the Company’s Canadian subsidiaries under the Amended Credit Agreement are guaranteed by the Company and certain of its U.S. and Canadian subsidiaries.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exceptions as set forth in the Amended Credit Agreement, the obligations under the Amended Credit Agreement are secured by a first priority security interest in and lien on substantially all assets of the Company, each other borrower and each guarantor.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covenants, including financial maintenance covenants requiring the Company to maintain compliance with a consolidated minimum interest coverage ratio and a maximum total net leverage ratio, each determined in accordance with the terms of the Amended Credit Agreement. The Amended Credit Agreement contains various events of default (subject to exceptions, thresholds and grace periods as set forth in the Amended Credit Agreement). Under certain circumstances, a default interest rate will apply on all obligations at a rate equal to 2.0% per annum above the applicable interest rate. The Company was in compliance with all financial covenants as of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stock-based compensation expense of $2.4 million and $1.0 million for the three months ended March 31, 2026 and 2025, respectively, in Selling, general and administrative expenses in the Unaudited Condensed Consolidated Statements of Operations and Comprehensive Income (Loss). A portion of the Company’s stock-based awards are liability-classified. Accordingly, changes in the market value of DSG common stock may result in stock-based compensation expense or benefit in certain periods. A stock-based compensation liability of $0.3 million as of March 31, 2026 and $0.3 million as of December 31, 2025 was included in Accrued expenses and other current liabilities in the Unaudited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an existing stock repurchase program authorized by the Board of Directors, the Company may repurchase its common stock from time to time in open market transactions, privately negotiated transactions or by other methods. During the first three months of 2026, no repurchases were made. During the first three months of 2025, the Company repurchased 320,638 shares of DSG common stock under the repurchase program at an average cost of $34.94 per share for a total cost of $11.2 million. The remaining availability for stock repurchases under the program was $32.9 million at March 31,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computation of basic and diluted earnings per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6"/>
        </w:trPr>
        <w:tc>
          <w:tcPr>
            <w:tcW w:w="7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46,190,598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46,601,426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share of common stock</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46,190,598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46,601,426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798,952</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47,030,280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47,400,378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of common stock</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securities that were excluded from the calculation of diluted earnings per share because their inclusion would be anti-dilutive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7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80" w:type="dxa"/>
            <w:vAlign w:val="bottom"/>
          </w:tcPr>
          <w:p>
            <w:pPr>
              <w:spacing w:after="0"/>
              <w:rPr>
                <w:sz w:val="19"/>
                <w:szCs w:val="19"/>
                <w:color w:val="auto"/>
              </w:rPr>
            </w:pPr>
          </w:p>
        </w:tc>
        <w:tc>
          <w:tcPr>
            <w:tcW w:w="1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34"/>
        </w:trPr>
        <w:tc>
          <w:tcPr>
            <w:tcW w:w="7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1,369,868</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stock-based awards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$0.4 million, a 49.5% effective tax rate for the three months ended March 31, 2026. An income tax expense of $2.3 million, a 40.9% effective tax rate was recorded for the three months ended March 31, 2025. The effective tax rate for the three months ended March 31, 2026 differs from the U.S. statutory rate primarily due to state taxes, foreign income and a change in valuation allowances related to interest expense limitation deferred tax assets and other discrete items. The effective tax rate for the three months ended March 31, 2025 differs from the U.S. statutory rate primarily due to state taxes, foreign income and a change in valuation allowances related to interest expense limitation deferred tax assets.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tax of multiple state and foreign jurisdictions. As of March 31, 2026, the Company is subject to U.S. federal income tax examinations for the years 2022 through 2024 and income tax examinations from various other jurisdictions for the years 2018 through 2024.</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 Determination of the amount of unrecognized deferred tax liability related to indefinitely reinvested profits is not feasible primarily due to the Company’s legal entity structure and the complexity of U.S. tax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CODM is the Chief Executive Officer of DSG. For each reportable segment, the CODM uses segment operating income (loss) to allocate resources (including employees and financial resources) in a way to manage and grow margins.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four reporting segments: Lawson, TestEquity, Gexpro Services and Canada Branch Division. A description of our reportable segments is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industrial MRO supplies, safety products, fasteners, power tools and related value-add services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MRO market through the sale of products and services via warehouse shipments and to its walk-up customers through 35 branch locations.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an “All Other” category which includes unallocated DSG holding company costs that are not directly attributable to the ongoing operating activities of our reportable segments. There is no revenue associated with the All Other category.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Financial information for the Company’s segments and reconciliations of that information to the unaudited condensed consolidated financial statements is presented below.</w:t>
      </w:r>
    </w:p>
    <w:p>
      <w:pPr>
        <w:spacing w:after="0" w:line="3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120,462</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188,773</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118,905</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w:t>
            </w:r>
          </w:p>
        </w:tc>
      </w:tr>
      <w:tr>
        <w:trPr>
          <w:trHeight w:val="230"/>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478,029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52,228</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147,016</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81,799</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goods sold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314,049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61,918</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w:t>
            </w:r>
          </w:p>
        </w:tc>
      </w:tr>
      <w:tr>
        <w:trPr>
          <w:trHeight w:val="230"/>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(loss) before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48"/>
        </w:trPr>
        <w:tc>
          <w:tcPr>
            <w:tcW w:w="7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revenue includes revenue from sales to external customers and intersegment revenue from sales transactions between segments. The Company accounts for intersegment sales similar to third party transactions that are conducted on an arm’s-length basis and reflect current market prices. Intersegment revenue is eliminated in consolidation. Segment revenue and the elimination of intersegment revenue was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Gexpro</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140" w:type="dxa"/>
            <w:vAlign w:val="bottom"/>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TestEquity</w:t>
            </w: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Branch</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5"/>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495,995</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123,736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495,995</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50,540</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478,029</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120,462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118,905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478,029</w:t>
            </w:r>
          </w:p>
        </w:tc>
        <w:tc>
          <w:tcPr>
            <w:tcW w:w="0" w:type="dxa"/>
            <w:vAlign w:val="bottom"/>
          </w:tcPr>
          <w:p>
            <w:pPr>
              <w:spacing w:after="0"/>
              <w:rPr>
                <w:sz w:val="1"/>
                <w:szCs w:val="1"/>
                <w:color w:val="auto"/>
              </w:rPr>
            </w:pPr>
          </w:p>
        </w:tc>
      </w:tr>
      <w:tr>
        <w:trPr>
          <w:trHeight w:val="21"/>
        </w:trPr>
        <w:tc>
          <w:tcPr>
            <w:tcW w:w="39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4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Total assets by segment and long-lived assets by geographic area were as follows: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2"/>
                <w:szCs w:val="22"/>
                <w:color w:val="auto"/>
              </w:rPr>
            </w:pPr>
          </w:p>
        </w:tc>
        <w:tc>
          <w:tcPr>
            <w:tcW w:w="17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by segment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539,809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548,169</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624,829</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351,552</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16,278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1,748,621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Long-lived assets by geographic area</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783,709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796,554</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142,183</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30,808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Pacific Rim</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975,467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60" w:hanging="228"/>
        <w:spacing w:after="0"/>
        <w:tabs>
          <w:tab w:leader="none" w:pos="56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Long-lived assets include property, plant and equipment, rental equipment, goodwill, intangibles, right of use operating lease assets, and other assets.</w:t>
      </w:r>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 Revenue Recognition for disaggregated revenue by geographic area.</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 expenditures and depreciation and amortization by segment were as follows:</w:t>
      </w:r>
    </w:p>
    <w:p>
      <w:pPr>
        <w:spacing w:after="0" w:line="4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legal proceedings that have arisen in the ordinary course of business. The Company records accruals for loss contingencies when losses are probable and reasonably estimable. The Company is not currently aware of any litigation matters or loss contingencies that would reasonably be expected to have a material adverse effect on our business,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Individuals employed by LKCM Headwater Operations, LLC, a related party of LKCM, have provided the Company with certain consulting services for interim executive management in addition to assisting in identifying cost savings, revenue enhancements and operational synergies of the combined companies. Expense of $0.2 million for both the three months ended March 31, 2026 and 2025 was recorded within Selling, general and administrative expenses in the Unaudited Condensed Consolidated Statements of Operations and Comprehensive Income (Loss), reflecting expenses incurred for these consulting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Shareholder</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LKCM, entities affiliated with LKCM and J. Bryan King (President and Chief Executive Officer of DSG and Chairman of the DSG Board of Directors), including private investment partnerships for which LKCM serves as investment manager, beneficially owned in the aggregate approximately 36.4 million shares of DSG common stock as of March 31, 2026 representing approximately 78.7% of the outstanding shares of DSG common stock as of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 Lease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Company’s headquarters move to Fort Worth, Texas in 2023, the Company has been utilizing office space in a building that is leased by LKCM. The Company is not charged any rent or other amounts for the use of the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Recent Developments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2026, the Company received an unsolicited preliminary, non-binding proposal from LKCM Headwater Investments, LLC, together with its affiliates and related parties which includes LKCM (the “LKCM Group”), to acquire all of the outstanding shares of the Company’s common stock not currently owned by LKCM Group for $29.50 per share in cash (the</w:t>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“Take-Private Proposal”). As of the date of such filing, LKCM Group, together with its affiliates, beneficially owned approximately 78.7% of the Company’s outstanding shares of common stock. On April 6, 2026, the Company’s Board of Directors formed a special committee comprised of independent and disinterested directors (the “Special Committee”) to review, evaluate and negotiate the Proposal and determine the Company’s response thereto. The Special Committee has retained independent legal counsel and an independent financial advisor to assist it in connection with its review. The Proposal is preliminary and non-binding and is subject to, among other things, confirmatory due diligence, negotiation and execution of definitive documentation, and may be modified or withdrawn at any time. There can be no assurance that the Special Committee will recommend the Proposal, that any definitive agreement will be executed, that any required approvals will be obtained, or that any transaction will be approved or consummated on the proposed terms, or at all.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DSG’s financial condition and results of operations should be read in conjunction with the unaudited condensed consolidated financial statements and related notes included in this Quarterly Report on Form 10-Q and the audited consolidated financial statements, accompanying notes and other information included in DSG’s Annual Report on Form 10-K filed for the year ended December 31, 2025.</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“DSG”, the “Company”, “we”, “our” or “us” refer to Distribution Solutions Group, Inc. and all entities consolidated in the accompanying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and Structure</w:t>
      </w:r>
    </w:p>
    <w:p>
      <w:pPr>
        <w:spacing w:after="0" w:line="2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DSG is a multi-platform specialty distribution company providing high touch, value-added distribution solutions to the maintenance, repair and operations (“MRO”), the original equipment manufacturer (“OEM”) and the industrial technologies markets.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four reportable segments: Lawson, TestEquity, Gexpro Services and Canada Branch Division. A summary of our reportable segments is presented below. For additional details about our segments see Note 1 – Nature of Operations and Basis of Presentation and Note 13 – Segment Information, within Item 1. Financial Statements.</w:t>
      </w:r>
    </w:p>
    <w:p>
      <w:pPr>
        <w:spacing w:after="0" w:line="20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specialty products and services to the industrial, commercial, institutional and governmental MRO marketplace. Lawson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distributes MRO products to its customers through a network of sales representatives and an inside sales channel throughout the United States and Canada.</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TestEquity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distributor of test and measurement equipment and solutions, industrial and electronic production supplies, vendor managed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converting, fabrication and adhesive solutions from its leading manufacturer partners supporting the aerospace and defense, wireless and communication, semiconductors, industrial electronics and automotive, and electronics manufacturing industries.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Gexpro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global supply chain solutions provider, specializing in the development of mission critical production line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aftermarket and field installation programs.</w:t>
      </w:r>
    </w:p>
    <w:p>
      <w:pPr>
        <w:spacing w:after="0" w:line="18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i w:val="1"/>
          <w:iCs w:val="1"/>
          <w:u w:val="single" w:color="auto"/>
          <w:color w:val="auto"/>
        </w:rPr>
        <w:t>Canada Branch Division</w:t>
      </w:r>
      <w:r>
        <w:rPr>
          <w:sz w:val="1"/>
          <w:szCs w:val="1"/>
          <w:color w:val="auto"/>
        </w:rPr>
        <w:drawing>
          <wp:inline distT="0" distB="0" distL="0" distR="0">
            <wp:extent cx="43180"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is a distributor of industrial MRO supplies, safety products, fasteners, power tools and related value-add services to the Canadian MRO market through the sale of products and services via warehouse shipments and to its walk-up customers through 35 branch locations.</w:t>
      </w: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these four reportable segments, we have an “All Other” category which includes unallocated DSG holding company costs that are not directly attributable to the ongoing operating activities of our reportable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Eastern Valve Acquisition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9, 2026, DSG completed the acquisition of Eastern Valve &amp; Control Specialties Ltd. (“Eastern Valve” and the “Eastern Valve Transaction”). Eastern Valve is located in Paradise, Newfoundland, Canada, and supplies and services industrial valve products throughout Atlantic Canada. Eastern Valve was acquired to expand DSG’s operating footprint in the Canadian market.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Growth Strategy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grow our businesses organically by exploring growth opportunities that provide different channels to reach customers, increase revenue and generate positive results. We plan to utilize our Company structure to grow organic revenue through collaborative selling across our customer bases and expanding the digital capabilities across our platform.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Strategy</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organic growth, we plan to actively pursue acquisition opportunities complementary to our businesses and that we believe will be financially accretive to our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Drivers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DSG believes that the Purchasing Managers Index (“PMI”) published by the Institute for Supply Management is an indicative measure of the relative strength of the economic environment of the industry in which it operates. The PMI is a composite index of economic activity in the U.S. manufacturing sector. A measure of the PMI index above 50 is generally viewed as indicating an expansion of the manufacturing sector while a measure below 50 is generally viewed as representing a contraction. The average monthly PMI was 52.6 in the three months ended March 31, 2026, compared to 50.1 in the three months ended March 31, 2025.</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Lawson Sales Drivers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North American MRO market is highly fragmented. Lawson competes for business with several national distributors as well as a large number of regional and local distributors. The MRO business is impacted by the overall strength of the manufacturing sector of the U.S. economy.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Lawson’s revenue is also influenced by the number of sales representatives and their productivity. Lawson plans to continue concentrating its efforts on increasing the productivity and size of its sales team. Additionally, Lawson drives revenue through the expansion of products sold to existing customers as well as attracting new customers and additional ship-to locations. Lawson also utilizes an inside sales team to help drive field sales representative productivity and also utilizes an e-commerce site to generate sales.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TestEquity Sales Drivers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North American market for test and measurement, industrial, and electronic production supplies is highly fragmented, with competition ranging from global to regional distributors. We believe TestEquity stands out through its portfolio of specialized brands, technical knowledge, and digital platforms, each tailored to serve specific needs across the electronics lifecycle. These brands maintain unique identities and address every stage of the electronics process—from R&amp;D to assembly and ongoing maintenance. This multi-brand approach enables TestEquity to offer an extensive product range, expert support, and tailored technical solutions, positioning it as a trusted partner across diverse customer requirements.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growth is fueled by TestEquity’s comprehensive catalog of test and measurement equipment, electronic production supplies, and industrial tools, supported by a high-touch, consultative sales model. Strategic acquisitions have expanded its customer base and strengthened recurring rental revenue. We believe that continued investments in e-commerce, rising demand from high-growth sectors like aerospace and telecommunications, and TestEquity’s strong positioning as a preferred vendor amid supplier consolidation will contribute to sustained momentum and long-term value creation.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Gexpro Services Sales Drivers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global supply chain solutions market is highly fragmented across Gexpro Services’ key vertical segments. Gexpro Services’ competitors range from large global distributors and manufacturers to small regional domestic distributors and manufacturers. Gexpro Services’ revenue is influenced by our OEMs’ production schedules, new product introduction launches, and service project needs.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Gexpro Services’ strategy is to increase revenue through increasing wallet share with existing customers, customer-led geographic expansion, new customer development in its six key vertical markets and leveraging its portfolio of recent acquisitions to expand its installation and aftermarket services.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Canada Branch Division Sales Drivers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Canada Branch Division is a distributor of industrial MRO supplies, safety products, fasteners, power tools and related value-add services to the Canadian MRO market through the sale of products and services via warehouse shipments and to its walk-up customers through 35 branch locations.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Canada Branch Division’s strategy is to grow revenue through increasing wallet share with existing customers, via introduction of new product lines and services in geographic areas that were underserviced previously. Additionally, Canada Branch Division will engage new customers and additional ship-to locations with its national sales team.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Disruptions and Tariffs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be affected by rising supplier costs caused by inflation, and increased tariffs, transportation and labor costs. We have instituted various price increases during 2025 and 2026 in response to rising supplier costs and increased tariffs, transportation and labor costs in order to attempt to manage our gross profit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 to Prior Periods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not directly comparable on a year-over-year basis due to acquisition activity. We account for acquisitions under Accounting Standards Codification 805, Business Combinations (“ASC 805”). Accordingly, the results of acquisitions are only included subsequent to their respective acquisition dates. Refer to Note 3 – Business Acquisitions within Item 1. Financial Statements for a description of the acquisition completed in 2026 and the reportable segment in which the acquisition’s results of operations are included.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 of underlying trends of the business because they provide a comparison of historical information that excludes certain infrequently occurring, seasonal or non-operational items that impact the overall comparability. These non-GAAP financial measures should be viewed in addition to, and not as an alternative for, the Company’s reported results prepared in accordance with GAAP.</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Non-GAAP Adjusted EBITDA</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believes Adjusted EBITDA is an important measure of the Company’s operating performance and may provide investors with additional meaningful comparisons between current results and results in prior operating periods because Adjusted EBITDA excludes certain non-operational or non-cash items whose fluctuations from period to period do not necessarily correspond to changes in the operating performance of our business and consequently may impact the overall comparability from period to period. We define Adjusted EBITDA as operating income plus depreciation and amortization, stock-based compensation, severance and acquisition related retention costs, costs related to the execution and integration of acquisitions, amortization of fair value step-up resulting from acquisitions and other non-recurring items. Management uses operating income and Adjusted EBITDA to evaluate the performance of its reportable segments. See Note 13 – Segment Information within Item 1. Financial Statements for additional information about our reportable segments.</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on a consolidated basis and Operating income (loss) to Adjusted EBITDA by segment for the three months ended March 31, 2026 and 2025. A reconciliation of Net income (loss) to Adjusted EBITDA by segment is not provided because management does not determine or review net income at the segment level and does not allocate non-operating costs and expenses to its segments, such as income taxes, interest expense, and various other non-operating income and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to Non-GAAP Adjusted EBITDA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18"/>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Gexpro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Canada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TestEquity</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Branch</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Severance and acquisition related retention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Inventory step-up</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non-recurring</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3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1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Gexpro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Canada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Lawson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TestEquity</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Branch</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Severance and acquisition related retention</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Inventory step-up</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non-recurring</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8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60" w:hanging="228"/>
        <w:spacing w:after="0"/>
        <w:tabs>
          <w:tab w:leader="none" w:pos="5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Expense (benefit) primarily for stock-based compensation, of which a portion varies with the Company’s stock price.</w:t>
      </w:r>
    </w:p>
    <w:p>
      <w:pPr>
        <w:spacing w:after="0" w:line="64"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severance expense from actions taken not related to a formal restructuring plan and acquisition related retention expenses.</w:t>
      </w:r>
    </w:p>
    <w:p>
      <w:pPr>
        <w:spacing w:after="0" w:line="50" w:lineRule="exact"/>
        <w:rPr>
          <w:rFonts w:ascii="Times New Roman" w:cs="Times New Roman" w:eastAsia="Times New Roman" w:hAnsi="Times New Roman"/>
          <w:sz w:val="21"/>
          <w:szCs w:val="21"/>
          <w:color w:val="auto"/>
          <w:vertAlign w:val="superscript"/>
        </w:rPr>
      </w:pPr>
    </w:p>
    <w:p>
      <w:pPr>
        <w:ind w:left="620" w:hanging="288"/>
        <w:spacing w:after="0" w:line="191" w:lineRule="auto"/>
        <w:tabs>
          <w:tab w:leader="none" w:pos="6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acquisitions.</w:t>
      </w:r>
    </w:p>
    <w:p>
      <w:pPr>
        <w:spacing w:after="0" w:line="50" w:lineRule="exact"/>
        <w:rPr>
          <w:rFonts w:ascii="Times New Roman" w:cs="Times New Roman" w:eastAsia="Times New Roman" w:hAnsi="Times New Roman"/>
          <w:sz w:val="21"/>
          <w:szCs w:val="21"/>
          <w:color w:val="auto"/>
          <w:vertAlign w:val="superscript"/>
        </w:rPr>
      </w:pPr>
    </w:p>
    <w:p>
      <w:pPr>
        <w:ind w:left="560" w:hanging="228"/>
        <w:spacing w:after="0" w:line="191" w:lineRule="auto"/>
        <w:tabs>
          <w:tab w:leader="none" w:pos="5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Inventory fair value step-up adjustment for acquisition accounting related to acquisitions completed.</w:t>
      </w:r>
    </w:p>
    <w:p>
      <w:pPr>
        <w:spacing w:after="0" w:line="64" w:lineRule="exact"/>
        <w:rPr>
          <w:rFonts w:ascii="Times New Roman" w:cs="Times New Roman" w:eastAsia="Times New Roman" w:hAnsi="Times New Roman"/>
          <w:sz w:val="21"/>
          <w:szCs w:val="21"/>
          <w:color w:val="auto"/>
          <w:vertAlign w:val="superscript"/>
        </w:rPr>
      </w:pPr>
    </w:p>
    <w:p>
      <w:pPr>
        <w:ind w:left="560" w:hanging="228"/>
        <w:spacing w:after="0" w:line="191" w:lineRule="auto"/>
        <w:tabs>
          <w:tab w:leader="none" w:pos="5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costs consist of certain non-recurring strategic projects and other non-recurring items.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Transactions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revenue and Operating income (loss) by reportable segment includes sales to external customers and sales transactions between our segments, referred to as intersegment revenue, and the impact of those intersegment revenue transactions on operating activities. Reconciliations of segment revenue and Operating income (loss) to our consolidated results of operations in the unaudited condensed consolidated financial statements are provided in Note 13 – Segment Information within Item 1. Financial Statements.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9"/>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0"/>
        </w:trPr>
        <w:tc>
          <w:tcPr>
            <w:tcW w:w="3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00" w:type="dxa"/>
            <w:vAlign w:val="bottom"/>
            <w:tcBorders>
              <w:bottom w:val="single" w:sz="8" w:color="auto"/>
            </w:tcBorders>
          </w:tcPr>
          <w:p>
            <w:pPr>
              <w:spacing w:after="0"/>
              <w:rPr>
                <w:sz w:val="24"/>
                <w:szCs w:val="24"/>
                <w:color w:val="auto"/>
              </w:rPr>
            </w:pPr>
          </w:p>
        </w:tc>
      </w:tr>
      <w:tr>
        <w:trPr>
          <w:trHeight w:val="223"/>
        </w:trPr>
        <w:tc>
          <w:tcPr>
            <w:tcW w:w="3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Pr>
          <w:p>
            <w:pPr>
              <w:spacing w:after="0"/>
              <w:rPr>
                <w:sz w:val="19"/>
                <w:szCs w:val="19"/>
                <w:color w:val="auto"/>
              </w:rPr>
            </w:pPr>
          </w:p>
        </w:tc>
        <w:tc>
          <w:tcPr>
            <w:tcW w:w="18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3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revenue elimination</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Intersegment cost of goods sold elimination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332,656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314,049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Lawson</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TestEquity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Gexpro Services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 Branch Division</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r>
      <w:tr>
        <w:trPr>
          <w:trHeight w:val="155"/>
        </w:trPr>
        <w:tc>
          <w:tcPr>
            <w:tcW w:w="384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43"/>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3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2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Consolidated 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consolidated revenue increased $18.0 million in the first quarter of 2026 compared to the first quarter of 2025 primarily driven by an increase in organic revenue of $17.2 million or 3.6%. Consolidated gross profit decreased and Selling, general and administrative expenses increased in the first quarter of 2026 compared to the prior year quarter, primarily to support the increase in revenue.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Results by Reportable Segment below for a complete discussion of our results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by Reportable Segment</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Lawson Segment</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123,689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120,440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123,736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120,462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58,749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52,228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3"/>
        </w:trPr>
        <w:tc>
          <w:tcPr>
            <w:tcW w:w="3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61,931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61,918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3740" w:type="dxa"/>
            <w:vAlign w:val="bottom"/>
            <w:tcBorders>
              <w:bottom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3,056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6,316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4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52.5 %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56.6 %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gridSpan w:val="3"/>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11,569</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14,307</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400" w:hanging="8"/>
        <w:spacing w:after="0" w:line="280" w:lineRule="auto"/>
        <w:tabs>
          <w:tab w:leader="none" w:pos="571"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Refer to the Non-GAAP Adjusted EBITDA section in Overview for a reconciliation of Adjusted EBITDA to operating income. </w:t>
      </w: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approximately $3.3 million, or 2.7%, to $123.7 million in the first quarter of 2026 compared to $120.5 million in the first quarter of 2025. The increase was primarily driven by increased sales to Lawson’s s</w:t>
      </w:r>
      <w:r>
        <w:rPr>
          <w:rFonts w:ascii="Times New Roman" w:cs="Times New Roman" w:eastAsia="Times New Roman" w:hAnsi="Times New Roman"/>
          <w:sz w:val="18"/>
          <w:szCs w:val="18"/>
          <w:color w:val="181717"/>
        </w:rPr>
        <w:t>trategic and government customers, partially offset by a decline in sales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Lawson’s core customers</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decreased $3.2 million, or 4.8%, to $65.0 million in the first quarter of 2026 compared to gross profit of $68.2 million in the prior year quarter primarily as a result of a sales mix shift toward lower margin customers, increased vendor costs and higher tariff rates on inbound freight partially offset by customer price increases. Lawson gross profit as a percentage of revenue was 52.5% in the first quarter of 2026 compared to 56.6% in the prior year quarter. The gross profit margin percentage decrease was primarily due to a sales mix shift toward lower margin customers, increased vendor costs and higher tariff rates on inbound freight partially offset by customer price increases.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of compensation and support for Lawson sales representatives and expenses to operate Lawson’s distribution network and overhead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 remained flat at $61.9 million in the first quarter of 2026 compared to the prior year quarter.</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the three months ended March 31, 2026, Lawson generated Adjusted EBITDA of </w:t>
      </w:r>
      <w:r>
        <w:rPr>
          <w:rFonts w:ascii="Times New Roman" w:cs="Times New Roman" w:eastAsia="Times New Roman" w:hAnsi="Times New Roman"/>
          <w:sz w:val="18"/>
          <w:szCs w:val="18"/>
          <w:color w:val="000000"/>
        </w:rPr>
        <w:t>$11.6 million</w:t>
      </w:r>
      <w:r>
        <w:rPr>
          <w:rFonts w:ascii="Times New Roman" w:cs="Times New Roman" w:eastAsia="Times New Roman" w:hAnsi="Times New Roman"/>
          <w:sz w:val="18"/>
          <w:szCs w:val="18"/>
          <w:color w:val="181717"/>
        </w:rPr>
        <w:t xml:space="preserve">, or </w:t>
      </w:r>
      <w:r>
        <w:rPr>
          <w:rFonts w:ascii="Times New Roman" w:cs="Times New Roman" w:eastAsia="Times New Roman" w:hAnsi="Times New Roman"/>
          <w:sz w:val="18"/>
          <w:szCs w:val="18"/>
          <w:color w:val="000000"/>
        </w:rPr>
        <w:t>9.3%</w:t>
      </w:r>
      <w:r>
        <w:rPr>
          <w:rFonts w:ascii="Times New Roman" w:cs="Times New Roman" w:eastAsia="Times New Roman" w:hAnsi="Times New Roman"/>
          <w:sz w:val="18"/>
          <w:szCs w:val="18"/>
          <w:color w:val="181717"/>
        </w:rPr>
        <w:t xml:space="preserve"> of sales. This is </w:t>
      </w:r>
      <w:r>
        <w:rPr>
          <w:rFonts w:ascii="Times New Roman" w:cs="Times New Roman" w:eastAsia="Times New Roman" w:hAnsi="Times New Roman"/>
          <w:sz w:val="18"/>
          <w:szCs w:val="18"/>
          <w:color w:val="000000"/>
        </w:rPr>
        <w:t>a decrease</w:t>
      </w:r>
      <w:r>
        <w:rPr>
          <w:rFonts w:ascii="Times New Roman" w:cs="Times New Roman" w:eastAsia="Times New Roman" w:hAnsi="Times New Roman"/>
          <w:sz w:val="18"/>
          <w:szCs w:val="18"/>
          <w:color w:val="181717"/>
        </w:rPr>
        <w:t xml:space="preserve"> of </w:t>
      </w:r>
      <w:r>
        <w:rPr>
          <w:rFonts w:ascii="Times New Roman" w:cs="Times New Roman" w:eastAsia="Times New Roman" w:hAnsi="Times New Roman"/>
          <w:sz w:val="18"/>
          <w:szCs w:val="18"/>
          <w:color w:val="000000"/>
        </w:rPr>
        <w:t>$2.7</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181717"/>
        </w:rPr>
        <w:t>from the same period a year ago</w:t>
      </w:r>
      <w:r>
        <w:rPr>
          <w:rFonts w:ascii="Times New Roman" w:cs="Times New Roman" w:eastAsia="Times New Roman" w:hAnsi="Times New Roman"/>
          <w:sz w:val="18"/>
          <w:szCs w:val="18"/>
          <w:color w:val="000000"/>
        </w:rPr>
        <w:t xml:space="preserve"> primarily driven by the lower gross profit margin percentage partially offset by increased revenue.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34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TestEquity Segment</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Pr>
          <w:p>
            <w:pPr>
              <w:spacing w:after="0"/>
              <w:rPr>
                <w:sz w:val="24"/>
                <w:szCs w:val="24"/>
                <w:color w:val="auto"/>
              </w:rPr>
            </w:pPr>
          </w:p>
        </w:tc>
        <w:tc>
          <w:tcPr>
            <w:tcW w:w="202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203,764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23"/>
        </w:trPr>
        <w:tc>
          <w:tcPr>
            <w:tcW w:w="3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188,773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158,582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3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37,627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gridSpan w:val="4"/>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4,047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4,130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760" w:type="dxa"/>
            <w:vAlign w:val="bottom"/>
            <w:gridSpan w:val="4"/>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12,811</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Adjusted EBITDA to operating income.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Revenue </w:t>
      </w:r>
      <w:r>
        <w:rPr>
          <w:rFonts w:ascii="Times New Roman" w:cs="Times New Roman" w:eastAsia="Times New Roman" w:hAnsi="Times New Roman"/>
          <w:sz w:val="18"/>
          <w:szCs w:val="18"/>
          <w:color w:val="000000"/>
        </w:rPr>
        <w:t>increased $15.4 million, or 8.2%,</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$204.2 million</w:t>
      </w:r>
      <w:r>
        <w:rPr>
          <w:rFonts w:ascii="Times New Roman" w:cs="Times New Roman" w:eastAsia="Times New Roman" w:hAnsi="Times New Roman"/>
          <w:sz w:val="18"/>
          <w:szCs w:val="18"/>
          <w:color w:val="181717"/>
        </w:rPr>
        <w:t xml:space="preserve"> in the </w:t>
      </w:r>
      <w:r>
        <w:rPr>
          <w:rFonts w:ascii="Times New Roman" w:cs="Times New Roman" w:eastAsia="Times New Roman" w:hAnsi="Times New Roman"/>
          <w:sz w:val="18"/>
          <w:szCs w:val="18"/>
          <w:color w:val="000000"/>
        </w:rPr>
        <w:t>first quarter of 2026 compared to $188.8 million in the first quarter of 2025.</w:t>
      </w:r>
      <w:r>
        <w:rPr>
          <w:rFonts w:ascii="Times New Roman" w:cs="Times New Roman" w:eastAsia="Times New Roman" w:hAnsi="Times New Roman"/>
          <w:sz w:val="18"/>
          <w:szCs w:val="18"/>
          <w:color w:val="181717"/>
        </w:rPr>
        <w:t xml:space="preserve"> The increase was primarily driven by a $19.0 million </w:t>
      </w:r>
      <w:r>
        <w:rPr>
          <w:rFonts w:ascii="Times New Roman" w:cs="Times New Roman" w:eastAsia="Times New Roman" w:hAnsi="Times New Roman"/>
          <w:sz w:val="18"/>
          <w:szCs w:val="18"/>
          <w:color w:val="000000"/>
        </w:rPr>
        <w:t>increase in revenue from test and measurement, rentals, chambers, refurbished, direct and indirect</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electronics production supplies partially offset by a $3.6 million decrease in revenue from fabrication and value added services along with a decrease in revenue from the Europe region.</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Gross profit </w:t>
      </w:r>
      <w:r>
        <w:rPr>
          <w:rFonts w:ascii="Times New Roman" w:cs="Times New Roman" w:eastAsia="Times New Roman" w:hAnsi="Times New Roman"/>
          <w:sz w:val="18"/>
          <w:szCs w:val="18"/>
          <w:color w:val="000000"/>
        </w:rPr>
        <w:t>increased $3.8 million to $45.6 million in the first quarter of 2026 compared to gross profit of $41.8 million in the prior year quarter. The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increase was primarily driven by higher sales. </w:t>
      </w:r>
      <w:r>
        <w:rPr>
          <w:rFonts w:ascii="Times New Roman" w:cs="Times New Roman" w:eastAsia="Times New Roman" w:hAnsi="Times New Roman"/>
          <w:sz w:val="18"/>
          <w:szCs w:val="18"/>
          <w:color w:val="181717"/>
        </w:rPr>
        <w:t>TestEquity gross profit as a percentage of revenue increased to 22.3% in the</w:t>
      </w:r>
      <w:r>
        <w:rPr>
          <w:rFonts w:ascii="Times New Roman" w:cs="Times New Roman" w:eastAsia="Times New Roman" w:hAnsi="Times New Roman"/>
          <w:sz w:val="18"/>
          <w:szCs w:val="18"/>
          <w:color w:val="000000"/>
        </w:rPr>
        <w:t xml:space="preserve"> first quarter of 2026 compared to </w:t>
      </w:r>
      <w:r>
        <w:rPr>
          <w:rFonts w:ascii="Times New Roman" w:cs="Times New Roman" w:eastAsia="Times New Roman" w:hAnsi="Times New Roman"/>
          <w:sz w:val="18"/>
          <w:szCs w:val="18"/>
          <w:color w:val="181717"/>
        </w:rPr>
        <w:t>22.1% in the prior year quarter</w:t>
      </w:r>
      <w:r>
        <w:rPr>
          <w:rFonts w:ascii="Times New Roman" w:cs="Times New Roman" w:eastAsia="Times New Roman" w:hAnsi="Times New Roman"/>
          <w:sz w:val="18"/>
          <w:szCs w:val="18"/>
          <w:color w:val="000000"/>
        </w:rPr>
        <w:t xml:space="preserve"> primarily due to lower inventory write-offs.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of compensation and support for TestEquity’s sales representatives and expenses to operate TestEquity’s distribution network and overhead expenses.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increased $3.9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$41.5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the first quarter of 2026 compared to $37.6 million in the prior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year quarter. The increase was primarily driven by an increase in stock-based compensation of $0.5 million, higher acquisition expenses of $0.3 million, higher salaries, commissions and bonuses as part of strategic leadership investments in 2026 and higher incentive compensation with the increase in revenue. These were partially offset by lower severance and acquisition related retention expenses of $0.5 million.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TestEquity generated Adjusted EBITDA of $13.2 million or 6.5% of sales. This is an increase of $0.4 million from the same period a year ago, which was primarily driven by the increase in revenue and gross profit margin while </w:t>
      </w:r>
      <w:r>
        <w:rPr>
          <w:rFonts w:ascii="Times New Roman" w:cs="Times New Roman" w:eastAsia="Times New Roman" w:hAnsi="Times New Roman"/>
          <w:sz w:val="18"/>
          <w:szCs w:val="18"/>
          <w:color w:val="181717"/>
        </w:rPr>
        <w:t>leveraging Selling,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and administrative expenses over a higher sales base.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340" w:type="dxa"/>
            <w:vAlign w:val="bottom"/>
          </w:tcPr>
          <w:p>
            <w:pPr>
              <w:spacing w:after="0"/>
              <w:rPr>
                <w:sz w:val="24"/>
                <w:szCs w:val="24"/>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Gexpro Services Segment</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Pr>
          <w:p>
            <w:pPr>
              <w:spacing w:after="0"/>
              <w:rPr>
                <w:sz w:val="24"/>
                <w:szCs w:val="24"/>
                <w:color w:val="auto"/>
              </w:rPr>
            </w:pPr>
          </w:p>
        </w:tc>
        <w:tc>
          <w:tcPr>
            <w:tcW w:w="20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117,543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118,593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3"/>
        </w:trPr>
        <w:tc>
          <w:tcPr>
            <w:tcW w:w="37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118,905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81,891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81,799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37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27,356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25,865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1"/>
        </w:trPr>
        <w:tc>
          <w:tcPr>
            <w:tcW w:w="3740" w:type="dxa"/>
            <w:vAlign w:val="bottom"/>
            <w:tcBorders>
              <w:bottom w:val="single" w:sz="8" w:color="CCEEFF"/>
            </w:tcBorders>
            <w:gridSpan w:val="4"/>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8,401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11,241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(2,840)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30.4 %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740" w:type="dxa"/>
            <w:vAlign w:val="bottom"/>
            <w:gridSpan w:val="4"/>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14,975</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60" w:hanging="228"/>
        <w:spacing w:after="0"/>
        <w:tabs>
          <w:tab w:leader="none" w:pos="5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Non-GAAP Adjusted EBITDA section in Overview for a reconciliation of Adjusted EBITDA to operating income.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Revenue </w:t>
      </w:r>
      <w:r>
        <w:rPr>
          <w:rFonts w:ascii="Times New Roman" w:cs="Times New Roman" w:eastAsia="Times New Roman" w:hAnsi="Times New Roman"/>
          <w:sz w:val="18"/>
          <w:szCs w:val="18"/>
          <w:color w:val="000000"/>
        </w:rPr>
        <w:t>decreased $1.3 million, or</w:t>
      </w:r>
      <w:r>
        <w:rPr>
          <w:rFonts w:ascii="Times New Roman" w:cs="Times New Roman" w:eastAsia="Times New Roman" w:hAnsi="Times New Roman"/>
          <w:sz w:val="18"/>
          <w:szCs w:val="18"/>
          <w:color w:val="181717"/>
        </w:rPr>
        <w:t xml:space="preserve"> 1.1%, to </w:t>
      </w:r>
      <w:r>
        <w:rPr>
          <w:rFonts w:ascii="Times New Roman" w:cs="Times New Roman" w:eastAsia="Times New Roman" w:hAnsi="Times New Roman"/>
          <w:sz w:val="18"/>
          <w:szCs w:val="18"/>
          <w:color w:val="000000"/>
        </w:rPr>
        <w:t>$117.6 million</w:t>
      </w:r>
      <w:r>
        <w:rPr>
          <w:rFonts w:ascii="Times New Roman" w:cs="Times New Roman" w:eastAsia="Times New Roman" w:hAnsi="Times New Roman"/>
          <w:sz w:val="18"/>
          <w:szCs w:val="18"/>
          <w:color w:val="181717"/>
        </w:rPr>
        <w:t xml:space="preserve"> in the </w:t>
      </w:r>
      <w:r>
        <w:rPr>
          <w:rFonts w:ascii="Times New Roman" w:cs="Times New Roman" w:eastAsia="Times New Roman" w:hAnsi="Times New Roman"/>
          <w:sz w:val="18"/>
          <w:szCs w:val="18"/>
          <w:color w:val="000000"/>
        </w:rPr>
        <w:t>first quarter of 2026 compared to $118.9 million in the first quarter of 2025</w:t>
      </w:r>
      <w:r>
        <w:rPr>
          <w:rFonts w:ascii="Times New Roman" w:cs="Times New Roman" w:eastAsia="Times New Roman" w:hAnsi="Times New Roman"/>
          <w:sz w:val="18"/>
          <w:szCs w:val="18"/>
          <w:color w:val="181717"/>
        </w:rPr>
        <w:t>. The decrease in revenue was primarily driven by a decline of $4.3 million and $1.5 million in the renewables and aerospace and defense vertical markets, respectively, partially offset by increases of $3.5 million in the industrial power vertical market and $1.5 million in the consumer and industrial vertical market. The changes in these vertical markets are inclusive of the pass through of tariff charges of approximately $2.8 million.</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181717"/>
        </w:rPr>
        <w:t xml:space="preserve">Gross profit </w:t>
      </w:r>
      <w:r>
        <w:rPr>
          <w:rFonts w:ascii="Times New Roman" w:cs="Times New Roman" w:eastAsia="Times New Roman" w:hAnsi="Times New Roman"/>
          <w:sz w:val="18"/>
          <w:szCs w:val="18"/>
          <w:color w:val="000000"/>
        </w:rPr>
        <w:t>decreased $1.3 million to $35.8 million</w:t>
      </w:r>
      <w:r>
        <w:rPr>
          <w:rFonts w:ascii="Times New Roman" w:cs="Times New Roman" w:eastAsia="Times New Roman" w:hAnsi="Times New Roman"/>
          <w:sz w:val="18"/>
          <w:szCs w:val="18"/>
          <w:color w:val="181717"/>
        </w:rPr>
        <w:t xml:space="preserve"> in the </w:t>
      </w:r>
      <w:r>
        <w:rPr>
          <w:rFonts w:ascii="Times New Roman" w:cs="Times New Roman" w:eastAsia="Times New Roman" w:hAnsi="Times New Roman"/>
          <w:sz w:val="18"/>
          <w:szCs w:val="18"/>
          <w:color w:val="000000"/>
        </w:rPr>
        <w:t>first quarter of 2026</w:t>
      </w:r>
      <w:r>
        <w:rPr>
          <w:rFonts w:ascii="Times New Roman" w:cs="Times New Roman" w:eastAsia="Times New Roman" w:hAnsi="Times New Roman"/>
          <w:sz w:val="18"/>
          <w:szCs w:val="18"/>
          <w:color w:val="181717"/>
        </w:rPr>
        <w:t xml:space="preserve"> compared to gross profit of </w:t>
      </w:r>
      <w:r>
        <w:rPr>
          <w:rFonts w:ascii="Times New Roman" w:cs="Times New Roman" w:eastAsia="Times New Roman" w:hAnsi="Times New Roman"/>
          <w:sz w:val="18"/>
          <w:szCs w:val="18"/>
          <w:color w:val="000000"/>
        </w:rPr>
        <w:t>$37.1 million in the prior year quarter,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primarily due to lower revenue. Gexpro Services gross profit as a percentage of revenue decreased to </w:t>
      </w:r>
      <w:r>
        <w:rPr>
          <w:rFonts w:ascii="Times New Roman" w:cs="Times New Roman" w:eastAsia="Times New Roman" w:hAnsi="Times New Roman"/>
          <w:sz w:val="18"/>
          <w:szCs w:val="18"/>
          <w:color w:val="181717"/>
        </w:rPr>
        <w:t>30.4% in the</w:t>
      </w:r>
      <w:r>
        <w:rPr>
          <w:rFonts w:ascii="Times New Roman" w:cs="Times New Roman" w:eastAsia="Times New Roman" w:hAnsi="Times New Roman"/>
          <w:sz w:val="18"/>
          <w:szCs w:val="18"/>
          <w:color w:val="000000"/>
        </w:rPr>
        <w:t xml:space="preserve"> first quarter of 2026 </w:t>
      </w:r>
      <w:r>
        <w:rPr>
          <w:rFonts w:ascii="Times New Roman" w:cs="Times New Roman" w:eastAsia="Times New Roman" w:hAnsi="Times New Roman"/>
          <w:sz w:val="18"/>
          <w:szCs w:val="18"/>
          <w:color w:val="181717"/>
        </w:rPr>
        <w:t>compared to 31.2%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in the prior year quarter primarily as a result of the pass through of tariff charges of approximately $2.8 million which negatively impacted the gross margin percentage by approximately 70 basis points.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Selling, general and administrative expenses consist of sales and marketing expenses primarily relating to compensation, costs associated with supporting Gexpro Services’ service facilities, overhead expenses within finance, legal, human resources and information technology, and other costs required to operate Gexpro Services’ business.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increased $1.5 million to $27.4 million in</w:t>
      </w:r>
      <w:r>
        <w:rPr>
          <w:rFonts w:ascii="Times New Roman" w:cs="Times New Roman" w:eastAsia="Times New Roman" w:hAnsi="Times New Roman"/>
          <w:sz w:val="18"/>
          <w:szCs w:val="18"/>
          <w:color w:val="181717"/>
        </w:rPr>
        <w:t xml:space="preserve"> the </w:t>
      </w:r>
      <w:r>
        <w:rPr>
          <w:rFonts w:ascii="Times New Roman" w:cs="Times New Roman" w:eastAsia="Times New Roman" w:hAnsi="Times New Roman"/>
          <w:sz w:val="18"/>
          <w:szCs w:val="18"/>
          <w:color w:val="000000"/>
        </w:rPr>
        <w:t>first quarter of 2026 compared to $25.9 million</w:t>
      </w:r>
      <w:r>
        <w:rPr>
          <w:rFonts w:ascii="Times New Roman" w:cs="Times New Roman" w:eastAsia="Times New Roman" w:hAnsi="Times New Roman"/>
          <w:sz w:val="18"/>
          <w:szCs w:val="18"/>
          <w:color w:val="181717"/>
        </w:rPr>
        <w:t xml:space="preserve"> in the prior year quarter primarily driven by higher medical claim costs and stock-based compensation of </w:t>
      </w:r>
      <w:r>
        <w:rPr>
          <w:rFonts w:ascii="Times New Roman" w:cs="Times New Roman" w:eastAsia="Times New Roman" w:hAnsi="Times New Roman"/>
          <w:sz w:val="18"/>
          <w:szCs w:val="18"/>
          <w:color w:val="000000"/>
        </w:rPr>
        <w:t>$0.4 million</w:t>
      </w:r>
      <w:r>
        <w:rPr>
          <w:rFonts w:ascii="Times New Roman" w:cs="Times New Roman" w:eastAsia="Times New Roman" w:hAnsi="Times New Roman"/>
          <w:sz w:val="18"/>
          <w:szCs w:val="18"/>
          <w:color w:val="181717"/>
        </w:rPr>
        <w: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During the three months ended March 31, 2026, Gexpro Services generated Adjusted EBITDA of </w:t>
      </w:r>
      <w:r>
        <w:rPr>
          <w:rFonts w:ascii="Times New Roman" w:cs="Times New Roman" w:eastAsia="Times New Roman" w:hAnsi="Times New Roman"/>
          <w:sz w:val="18"/>
          <w:szCs w:val="18"/>
          <w:color w:val="000000"/>
        </w:rPr>
        <w:t>$12.0 million or 10.2% of sales.</w:t>
      </w:r>
      <w:r>
        <w:rPr>
          <w:rFonts w:ascii="Times New Roman" w:cs="Times New Roman" w:eastAsia="Times New Roman" w:hAnsi="Times New Roman"/>
          <w:sz w:val="18"/>
          <w:szCs w:val="18"/>
          <w:color w:val="181717"/>
        </w:rPr>
        <w:t xml:space="preserve"> This is </w:t>
      </w:r>
      <w:r>
        <w:rPr>
          <w:rFonts w:ascii="Times New Roman" w:cs="Times New Roman" w:eastAsia="Times New Roman" w:hAnsi="Times New Roman"/>
          <w:sz w:val="18"/>
          <w:szCs w:val="18"/>
          <w:color w:val="000000"/>
        </w:rPr>
        <w:t>a decrease</w:t>
      </w:r>
      <w:r>
        <w:rPr>
          <w:rFonts w:ascii="Times New Roman" w:cs="Times New Roman" w:eastAsia="Times New Roman" w:hAnsi="Times New Roman"/>
          <w:sz w:val="18"/>
          <w:szCs w:val="18"/>
          <w:color w:val="181717"/>
        </w:rPr>
        <w:t xml:space="preserve"> of </w:t>
      </w:r>
      <w:r>
        <w:rPr>
          <w:rFonts w:ascii="Times New Roman" w:cs="Times New Roman" w:eastAsia="Times New Roman" w:hAnsi="Times New Roman"/>
          <w:sz w:val="18"/>
          <w:szCs w:val="18"/>
          <w:color w:val="000000"/>
        </w:rPr>
        <w:t xml:space="preserve">$2.9 million </w:t>
      </w:r>
      <w:r>
        <w:rPr>
          <w:rFonts w:ascii="Times New Roman" w:cs="Times New Roman" w:eastAsia="Times New Roman" w:hAnsi="Times New Roman"/>
          <w:sz w:val="18"/>
          <w:szCs w:val="18"/>
          <w:color w:val="181717"/>
        </w:rPr>
        <w:t>from the same period a year ago primarily driven by lower revenue.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34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Canada Branch Division Segment</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Pr>
          <w:p>
            <w:pPr>
              <w:spacing w:after="0"/>
              <w:rPr>
                <w:sz w:val="24"/>
                <w:szCs w:val="24"/>
                <w:color w:val="auto"/>
              </w:rPr>
            </w:pPr>
          </w:p>
        </w:tc>
        <w:tc>
          <w:tcPr>
            <w:tcW w:w="206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50,999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50,540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51,022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33,812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33,646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3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16,246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gridSpan w:val="4"/>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33.4 %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760" w:type="dxa"/>
            <w:vAlign w:val="bottom"/>
            <w:gridSpan w:val="4"/>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400" w:hanging="8"/>
        <w:spacing w:after="0" w:line="280" w:lineRule="auto"/>
        <w:tabs>
          <w:tab w:leader="none" w:pos="571"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Refer to the Non-GAAP Adjusted EBITDA section in Overview for a reconciliation of Adjusted EBITDA to operating income. </w:t>
      </w: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Revenue and Gross Profit</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181717"/>
        </w:rPr>
        <w:t xml:space="preserve">Revenue </w:t>
      </w:r>
      <w:r>
        <w:rPr>
          <w:rFonts w:ascii="Times New Roman" w:cs="Times New Roman" w:eastAsia="Times New Roman" w:hAnsi="Times New Roman"/>
          <w:sz w:val="18"/>
          <w:szCs w:val="18"/>
          <w:color w:val="000000"/>
        </w:rPr>
        <w:t>increased $0.5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$51.0 million</w:t>
      </w:r>
      <w:r>
        <w:rPr>
          <w:rFonts w:ascii="Times New Roman" w:cs="Times New Roman" w:eastAsia="Times New Roman" w:hAnsi="Times New Roman"/>
          <w:sz w:val="18"/>
          <w:szCs w:val="18"/>
          <w:color w:val="181717"/>
        </w:rPr>
        <w:t xml:space="preserve"> in the </w:t>
      </w:r>
      <w:r>
        <w:rPr>
          <w:rFonts w:ascii="Times New Roman" w:cs="Times New Roman" w:eastAsia="Times New Roman" w:hAnsi="Times New Roman"/>
          <w:sz w:val="18"/>
          <w:szCs w:val="18"/>
          <w:color w:val="000000"/>
        </w:rPr>
        <w:t>first quarter of 2026 compared to $50.5 million in the first quarter of 2025</w:t>
      </w:r>
      <w:r>
        <w:rPr>
          <w:rFonts w:ascii="Times New Roman" w:cs="Times New Roman" w:eastAsia="Times New Roman" w:hAnsi="Times New Roman"/>
          <w:sz w:val="18"/>
          <w:szCs w:val="18"/>
          <w:color w:val="181717"/>
        </w:rPr>
        <w:t xml:space="preserve"> primarily drive</w:t>
      </w:r>
      <w:r>
        <w:rPr>
          <w:rFonts w:ascii="Times New Roman" w:cs="Times New Roman" w:eastAsia="Times New Roman" w:hAnsi="Times New Roman"/>
          <w:sz w:val="18"/>
          <w:szCs w:val="18"/>
          <w:color w:val="000000"/>
        </w:rPr>
        <w:t>n by</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$0.8 million of additional revenue generated by the 2026 acquisition of Eastern Valve.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Gross profit </w:t>
      </w:r>
      <w:r>
        <w:rPr>
          <w:rFonts w:ascii="Times New Roman" w:cs="Times New Roman" w:eastAsia="Times New Roman" w:hAnsi="Times New Roman"/>
          <w:sz w:val="18"/>
          <w:szCs w:val="18"/>
          <w:color w:val="000000"/>
        </w:rPr>
        <w:t>increased $0.3 million to $17.2 million in the first quarter of 2026 compared to gross profit of $16.9 million in the prior year quarter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primarily from the inclusion of additional </w:t>
      </w:r>
      <w:r>
        <w:rPr>
          <w:rFonts w:ascii="Times New Roman" w:cs="Times New Roman" w:eastAsia="Times New Roman" w:hAnsi="Times New Roman"/>
          <w:sz w:val="18"/>
          <w:szCs w:val="18"/>
          <w:color w:val="181717"/>
        </w:rPr>
        <w:t>gross profit of</w:t>
      </w:r>
      <w:r>
        <w:rPr>
          <w:rFonts w:ascii="Times New Roman" w:cs="Times New Roman" w:eastAsia="Times New Roman" w:hAnsi="Times New Roman"/>
          <w:sz w:val="18"/>
          <w:szCs w:val="18"/>
          <w:color w:val="000000"/>
        </w:rPr>
        <w:t xml:space="preserve"> $0.3 million </w:t>
      </w:r>
      <w:r>
        <w:rPr>
          <w:rFonts w:ascii="Times New Roman" w:cs="Times New Roman" w:eastAsia="Times New Roman" w:hAnsi="Times New Roman"/>
          <w:sz w:val="18"/>
          <w:szCs w:val="18"/>
          <w:color w:val="181717"/>
        </w:rPr>
        <w:t>from the acquisition of Eastern Valve</w:t>
      </w:r>
      <w:r>
        <w:rPr>
          <w:rFonts w:ascii="Times New Roman" w:cs="Times New Roman" w:eastAsia="Times New Roman" w:hAnsi="Times New Roman"/>
          <w:sz w:val="18"/>
          <w:szCs w:val="18"/>
          <w:color w:val="000000"/>
        </w:rPr>
        <w:t>. G</w:t>
      </w:r>
      <w:r>
        <w:rPr>
          <w:rFonts w:ascii="Times New Roman" w:cs="Times New Roman" w:eastAsia="Times New Roman" w:hAnsi="Times New Roman"/>
          <w:sz w:val="18"/>
          <w:szCs w:val="18"/>
          <w:color w:val="181717"/>
        </w:rPr>
        <w:t>ross profit as a percentage of revenue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increased slightly to </w:t>
      </w:r>
      <w:r>
        <w:rPr>
          <w:rFonts w:ascii="Times New Roman" w:cs="Times New Roman" w:eastAsia="Times New Roman" w:hAnsi="Times New Roman"/>
          <w:sz w:val="18"/>
          <w:szCs w:val="18"/>
          <w:color w:val="000000"/>
        </w:rPr>
        <w:t>33.7%</w:t>
      </w:r>
      <w:r>
        <w:rPr>
          <w:rFonts w:ascii="Times New Roman" w:cs="Times New Roman" w:eastAsia="Times New Roman" w:hAnsi="Times New Roman"/>
          <w:sz w:val="18"/>
          <w:szCs w:val="18"/>
          <w:color w:val="181717"/>
        </w:rPr>
        <w:t xml:space="preserve"> in the </w:t>
      </w:r>
      <w:r>
        <w:rPr>
          <w:rFonts w:ascii="Times New Roman" w:cs="Times New Roman" w:eastAsia="Times New Roman" w:hAnsi="Times New Roman"/>
          <w:sz w:val="18"/>
          <w:szCs w:val="18"/>
          <w:color w:val="000000"/>
        </w:rPr>
        <w:t>first quarter of 2026 compared to 33.4%</w:t>
      </w:r>
      <w:r>
        <w:rPr>
          <w:rFonts w:ascii="Times New Roman" w:cs="Times New Roman" w:eastAsia="Times New Roman" w:hAnsi="Times New Roman"/>
          <w:sz w:val="18"/>
          <w:szCs w:val="18"/>
          <w:color w:val="181717"/>
        </w:rPr>
        <w:t xml:space="preserve"> in the prior year quarter.</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Selling, General and Administrative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Canada Branch Division consist of compensation, expenses to operate its distribution network and branch locations and overhead expenses.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Selling, general and administrative expenses </w:t>
      </w:r>
      <w:r>
        <w:rPr>
          <w:rFonts w:ascii="Times New Roman" w:cs="Times New Roman" w:eastAsia="Times New Roman" w:hAnsi="Times New Roman"/>
          <w:sz w:val="18"/>
          <w:szCs w:val="18"/>
          <w:color w:val="000000"/>
        </w:rPr>
        <w:t>increased $0.6 million</w:t>
      </w:r>
      <w:r>
        <w:rPr>
          <w:rFonts w:ascii="Times New Roman" w:cs="Times New Roman" w:eastAsia="Times New Roman" w:hAnsi="Times New Roman"/>
          <w:sz w:val="18"/>
          <w:szCs w:val="18"/>
          <w:color w:val="181717"/>
        </w:rPr>
        <w:t xml:space="preserve"> to </w:t>
      </w:r>
      <w:r>
        <w:rPr>
          <w:rFonts w:ascii="Times New Roman" w:cs="Times New Roman" w:eastAsia="Times New Roman" w:hAnsi="Times New Roman"/>
          <w:sz w:val="18"/>
          <w:szCs w:val="18"/>
          <w:color w:val="000000"/>
        </w:rPr>
        <w:t>$16.8 million</w:t>
      </w:r>
      <w:r>
        <w:rPr>
          <w:rFonts w:ascii="Times New Roman" w:cs="Times New Roman" w:eastAsia="Times New Roman" w:hAnsi="Times New Roman"/>
          <w:sz w:val="18"/>
          <w:szCs w:val="18"/>
          <w:color w:val="181717"/>
        </w:rPr>
        <w:t xml:space="preserve"> in </w:t>
      </w:r>
      <w:r>
        <w:rPr>
          <w:rFonts w:ascii="Times New Roman" w:cs="Times New Roman" w:eastAsia="Times New Roman" w:hAnsi="Times New Roman"/>
          <w:sz w:val="18"/>
          <w:szCs w:val="18"/>
          <w:color w:val="000000"/>
        </w:rPr>
        <w:t>the first quarter of 2026 compared to $16.2 million in the prior</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year quarter. The increase was primarily driven by approximately $0.1 million </w:t>
      </w:r>
      <w:r>
        <w:rPr>
          <w:rFonts w:ascii="Times New Roman" w:cs="Times New Roman" w:eastAsia="Times New Roman" w:hAnsi="Times New Roman"/>
          <w:sz w:val="18"/>
          <w:szCs w:val="18"/>
          <w:color w:val="181717"/>
        </w:rPr>
        <w:t>of additional expenses from Eastern Valve after its acquisition and higher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81717"/>
        </w:rPr>
        <w:t xml:space="preserve">acquisition related expenses of </w:t>
      </w:r>
      <w:r>
        <w:rPr>
          <w:rFonts w:ascii="Times New Roman" w:cs="Times New Roman" w:eastAsia="Times New Roman" w:hAnsi="Times New Roman"/>
          <w:sz w:val="18"/>
          <w:szCs w:val="18"/>
          <w:color w:val="000000"/>
        </w:rPr>
        <w:t>$0.6 million</w:t>
      </w:r>
      <w:r>
        <w:rPr>
          <w:rFonts w:ascii="Times New Roman" w:cs="Times New Roman" w:eastAsia="Times New Roman" w:hAnsi="Times New Roman"/>
          <w:sz w:val="18"/>
          <w:szCs w:val="18"/>
          <w:color w:val="181717"/>
        </w:rPr>
        <w: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181717"/>
        </w:rPr>
        <w:t>Adjusted EBITDA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181717"/>
        </w:rPr>
        <w:t xml:space="preserve">During the three months ended March 31, 2026, </w:t>
      </w:r>
      <w:r>
        <w:rPr>
          <w:rFonts w:ascii="Times New Roman" w:cs="Times New Roman" w:eastAsia="Times New Roman" w:hAnsi="Times New Roman"/>
          <w:sz w:val="18"/>
          <w:szCs w:val="18"/>
          <w:color w:val="000000"/>
        </w:rPr>
        <w:t>Canada Branch Division</w:t>
      </w:r>
      <w:r>
        <w:rPr>
          <w:rFonts w:ascii="Times New Roman" w:cs="Times New Roman" w:eastAsia="Times New Roman" w:hAnsi="Times New Roman"/>
          <w:sz w:val="18"/>
          <w:szCs w:val="18"/>
          <w:color w:val="181717"/>
        </w:rPr>
        <w:t xml:space="preserve"> generated Adjusted EBITDA of </w:t>
      </w:r>
      <w:r>
        <w:rPr>
          <w:rFonts w:ascii="Times New Roman" w:cs="Times New Roman" w:eastAsia="Times New Roman" w:hAnsi="Times New Roman"/>
          <w:sz w:val="18"/>
          <w:szCs w:val="18"/>
          <w:color w:val="000000"/>
        </w:rPr>
        <w:t>$2.8 million, or 5.5% of sales. This is an</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increase of $0.2 million from the same period a year ago, primarily driven by approximately $0.1 million of adjusted EBITDA generated by the 2026 acquisition of Eastern Valve</w:t>
      </w:r>
      <w:r>
        <w:rPr>
          <w:rFonts w:ascii="Times New Roman" w:cs="Times New Roman" w:eastAsia="Times New Roman" w:hAnsi="Times New Roman"/>
          <w:sz w:val="18"/>
          <w:szCs w:val="18"/>
          <w:color w:val="181717"/>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Consolidated Non-operating Income and Expense</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0"/>
        </w:trPr>
        <w:tc>
          <w:tcPr>
            <w:tcW w:w="3820" w:type="dxa"/>
            <w:vAlign w:val="bottom"/>
          </w:tcPr>
          <w:p>
            <w:pPr>
              <w:spacing w:after="0"/>
              <w:rPr>
                <w:sz w:val="24"/>
                <w:szCs w:val="24"/>
                <w:color w:val="auto"/>
              </w:rPr>
            </w:pPr>
          </w:p>
        </w:tc>
        <w:tc>
          <w:tcPr>
            <w:tcW w:w="368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Pr>
          <w:p>
            <w:pPr>
              <w:spacing w:after="0"/>
              <w:rPr>
                <w:sz w:val="24"/>
                <w:szCs w:val="24"/>
                <w:color w:val="auto"/>
              </w:rPr>
            </w:pPr>
          </w:p>
        </w:tc>
        <w:tc>
          <w:tcPr>
            <w:tcW w:w="210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spacing w:after="0"/>
              <w:rPr>
                <w:sz w:val="24"/>
                <w:szCs w:val="24"/>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38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2,044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1,000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(1,334)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(1,878)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N/M</w:t>
      </w:r>
      <w:r>
        <w:rPr>
          <w:rFonts w:ascii="Times New Roman" w:cs="Times New Roman" w:eastAsia="Times New Roman" w:hAnsi="Times New Roman"/>
          <w:sz w:val="16"/>
          <w:szCs w:val="16"/>
          <w:color w:val="auto"/>
        </w:rPr>
        <w:t xml:space="preserve"> Not meaningful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Interest expense decreased $2.0 million in the first quarter of 2026 compared to </w:t>
      </w:r>
      <w:r>
        <w:rPr>
          <w:rFonts w:ascii="Times New Roman" w:cs="Times New Roman" w:eastAsia="Times New Roman" w:hAnsi="Times New Roman"/>
          <w:sz w:val="18"/>
          <w:szCs w:val="18"/>
          <w:color w:val="181717"/>
        </w:rPr>
        <w:t>the prior year quarter</w:t>
      </w:r>
      <w:r>
        <w:rPr>
          <w:rFonts w:ascii="Times New Roman" w:cs="Times New Roman" w:eastAsia="Times New Roman" w:hAnsi="Times New Roman"/>
          <w:sz w:val="18"/>
          <w:szCs w:val="18"/>
          <w:color w:val="auto"/>
        </w:rPr>
        <w:t xml:space="preserve"> primarily due to lower average outstanding borrowings and lower average interest rates in 2026.</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Change in Fair Value of Earnout Liabilities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$1.0 million expense in the first quarter of 2025 related to the change in fair value of the earnout liabilities associated with the Frontier acquisition.</w:t>
      </w: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181717"/>
        </w:rPr>
        <w:t>Other Income (Expense), Net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effects of changes in foreign currency exchange rates, interest income, net and other non-operating income and expenditures. The $1.3 million change in the first quarter of 2026 compared to the same period of 2025 is primarily due to a decrease in the gain on the sale of property, plant and equipment and unfavorable changes in foreign currency exchange rates.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Expense (Benefit)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was $0.4 million, a 49.5% effective tax rate for the three months ended March 31, 2026 compared to an income tax expense of $2.3 million and a 40.9% effective tax rate for the three months ended March 31, 2025. The change in the year-over-year effective tax rate was primarily due to a change in valuation allowances related to interest expense limitation on deferred tax assets, state taxes and foreign income. The income tax expense recorded in the first quarter of 2026 is based on the estimated year-end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were $52.7 million on March 31, 2026 compared to $61.8 million on December 31, 2025.</w:t>
      </w:r>
    </w:p>
    <w:p>
      <w:pPr>
        <w:spacing w:after="0" w:line="2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Company believes its current balances of cash and cash equivalents, availability under its Amended Credit Agreement and cash flows from operations will be sufficient to meet its liquidity needs for the next twelve months. As of March 31, 2026, the Company had $52.7 million of cash and cash equivalents and $350.2 million of borrowing availability remaining, net of outstanding letters of credit, under the Amended Credit Agreement.</w:t>
      </w:r>
    </w:p>
    <w:p>
      <w:pPr>
        <w:spacing w:after="0" w:line="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Our primary short-term and long-term liquidity and capital resource needs are to finance operating expenses, working capital, capital expenditures, potential business acquisitions, strategic initiatives and general corporate purposes. Our current debt obligations under the Amended Credit Agreement mature in December 2030. Required principal payments on the Amended Credit Agreement for the next twelve months are $35.0 million. Refer to Note 8 – Debt within Item 1. Financial Statements for additional information related to our debt obligations. Access to debt capital markets has historically provided the Company with sources of liquidity, beyond normal operating cash flows. We do not currently anticipate having difficulty in obtaining financing from those markets in the future, however, we cannot provide assurance that unforeseen events or events beyond our control (such as a potential tightening of debt capital markets, including in response to the implementation of new tariffs as part of the U.S. trade policy and any reciprocal or retaliatory tariffs thereto) will not have a material adverse impact on our liquidity.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3"/>
        </w:trPr>
        <w:tc>
          <w:tcPr>
            <w:tcW w:w="5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(20,359)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(4,762)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(15,597)</w:t>
            </w: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(21,824)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(5,053)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(16,771)</w:t>
            </w: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32,046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7,633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24,413</w:t>
            </w:r>
          </w:p>
        </w:tc>
      </w:tr>
      <w:tr>
        <w:trPr>
          <w:trHeight w:val="864"/>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Operating Activities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$20.4 million primarily due to net income including non-cash items, partially offset by investments in trade working capital and other net cash flow items.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$4.8 million, primarily due to net income including non-cash items offset by investments in trade working capital and other net cash flow items.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Investing Activities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used in investing activities for the three months ended March 31, 2026 was $21.8 million, primarily due to the purchase of Eastern Valve, as well as purchases of property, plant and equipment and rental equipment, partially offset by the sale of property, plant and equipment and rental equipment.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$5.1 million, primarily due to purchases of property, plant and equipment and rental equipment which was partially offset by the sale of property, plant and equipment and rental equipment.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$32.0 million primarily due to net borrowings on the revolving credit facility partially offset by principal payments on the term loans.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$7.6 million primarily due to net borrowings on the revolving credit facility partially offset by principal payments on the term loans and share repurchases.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and Capital Requirements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includes $700 million of term debt and a revolving credit arrangement of $400 million and permits the Company to increase the commitments under the credit facility from time to time by up to $500 million in the aggregate, subject to, among other things, receipt of additional commitments from existing and/or new lenders and pro forma compliance with certain financial covenants. Refer to Note 8 – Debt within Item 1. Financial Statements for a description of the Amended Credit Agreement.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31, 2026, we had $736.6 million in outstanding borrowings under the Amended Credit Agreement and $350.2 million of borrowing availability remaining, net of outstanding letters of credit, under the senior secured revolving credit facility component.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we were in compliance with all financial covenants under our Amended Credit Agreement. While we were in compliance with our financial covenants as of March 31, 2026, failure to meet the covenant requirements of the Amended Credit Agreement in future quarters could lead to higher financing costs and increased restrictions, reduce or eliminate our ability to borrow funds, or accelerate the payment of our indebtedness and could have a material adverse effect on our business, financial condition and results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contractual commitments to purchase approximately $277.8 million of products from our suppliers and contractors over the next twelve months.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total net capital expenditures for property, plant and equipment and rental equipment were $5.6 million including proceeds from the sale of property, plant and equipment and rental equipment. The Company expects to spend approximately $25.0 million to $30.0 million for net capital expenditures during the full fiscal 2026 year to support ongoing operations.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previously authorized a stock repurchase program that permits the Company to repurchase DSG common stock. The timing and the amount of any repurchases will be determined by management under parameters established by the Board of Directors and depend on various factors including an evaluation of our stock price, corporate and regulatory requirements, capital availability and other market conditions.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no repurchases were made. During the three months ended March 31, 2025, the Company repurchased 320,638 shares of DSG common stock under the repurchase program at an average cost of $34.94 per share for a total cost of $11.2 million. The remaining availability for stock repurchases under the program was $32.9 million as of March 31, 2026. See Note 10 – Stockholders’ Equity within Item 1. Financial Statements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were prepared in accordance with GAAP. A discussion of our critical accounting policies and estimates is contained within Item 7. Management’s Discussion and Analysis of Financial Condition and Results of Operations in DSG’s Annual Report on Form 10-K for the year ended December 31, 2025. There have been no significant changes to our previously disclosed critical accounting policies and use of estimates. The following provides information on the accounts requiring more significant estimates.</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tax assets or liabilities reflect temporary differences between amounts of assets and liabilities for financial and tax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are adjusted, as appropriate, to reflect changes in enacted tax rates expected to be in effect when the temporary differences reverse. Significant judgment is required in determining income tax provisions as well as deferred tax asset and liability balances, including the estimation of valuation allowances and the evaluation of uncertain tax positions.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 </w:t>
      </w:r>
      <w:r>
        <w:rPr>
          <w:rFonts w:ascii="Times New Roman" w:cs="Times New Roman" w:eastAsia="Times New Roman" w:hAnsi="Times New Roman"/>
          <w:sz w:val="18"/>
          <w:szCs w:val="18"/>
          <w:color w:val="auto"/>
        </w:rPr>
        <w:t>Goodwill represents the cost of business acquisitions in excess of the fair value of identifiable net tangible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The Company reviews goodwill for potential impairment annually on October 1st, or when an event or other circumstances change that would more likely than not reduce the fair value of the asset below its carrying value.</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The Company considers factors such as macroeconomic, industry and market conditions, cost factors, overall financial performance and other relevant factors that would affect the individual reporting units. If the Company determines that it is more likely than not that the fair value of the reporting unit is greater than the carrying value of the reporting unit, then no further impairment testing is needed. If the Company determines that it is more likely than not that the carrying value of the reporting unit is greater than the fair value of the reporting unit, the Company will move to the next step in the process. The Company 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spacing w:after="0" w:line="21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We allocate the purchase price paid for assets acquired and liabilities assumed in connection with our acquisitions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estimated fair values at the time of acquisition. This allocation involves a number of assumptions, estimates, and judgments in determining the fair value, as of the acquisition date, of the following:</w:t>
      </w:r>
    </w:p>
    <w:p>
      <w:pPr>
        <w:spacing w:after="0" w:line="13" w:lineRule="exact"/>
        <w:rPr>
          <w:sz w:val="20"/>
          <w:szCs w:val="20"/>
          <w:color w:val="auto"/>
        </w:rPr>
      </w:pPr>
    </w:p>
    <w:p>
      <w:pPr>
        <w:jc w:val="both"/>
        <w:ind w:left="660" w:right="140" w:hanging="328"/>
        <w:spacing w:after="0" w:line="25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(the relief of royalty method for trade names and multi-period excess earnings method for customer relationships), estimations of future cash flows, discount rates, royalty rates, recurring revenue attributed to customer relationships, and our assumed market segment share, as well as the estimated useful life of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liabilities or legal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including estimating the likelihood and timing of achieving the relevant thresholds;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as measured as the excess of consideration transferred over the net of the acquisition date fair values of the assets acquired and the liabilities assumed.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assumptions and estimates are based upon comparable market data and information obtained from our management and the management of the acquired companies. We allocate goodwill to the reporting units of the business that are expected to benefit from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 primarily to our floating rate long-term debt obligations. Interest rate risk is the exposure to loss resulting from changes in the level of interest rates and the spread between different interest rates. These risks are highly sensitive to many factors, including U.S. monetary and tax policies, U.S. and international economic factors and other factors beyond our control.</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Amended Credit Agreement bear interest, at the Company’s option, at a rate equal to (i) the Alternate Base Rate or the Canadian Prime Rate (each as defined in the Amended Credit Agreement), plus, in each case, an additional margin ranging from 0.00% to 1.75% per annum, depending on the total net leverage ratio of the Company and its restricted subsidiaries as of the most recent determination date under the Amended Credit Agreement or (ii) the Adjusted Term SOFR Rate or the Adjusted Daily Simple SOFR (each as defined in the Amended Credit Agreement), plus, in each case, an additional margin ranging from 1.00% to 2.75% per annum, depending on the total net leverage ratio of the Company and its restricted subsidiaries as of the most recent determination date under the Amended Credit Agreement. Refer to Note 8 – Debt within Item 1. Financial Statements for information about the Amended Credit Agreement.</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100% of our debt was floating rate debt. A hypothetical increase/decrease in interest rates of 100 basis points would increase/decrease our annual interest expense by approximately $7.4 million. We have not entered into, and currently do not intend to enter into, interest rate swaps or other derivative financial instruments to mitigate the impact of fluctuations in interest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report (the “Evaluation Date”). Based on this evaluation, our Chief Executive Officer and Chief Financial Officer concluded as of the Evaluation Date that our disclosure controls and procedures were effective as of the Evaluation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timing of the Eastern Valve Transaction and the complexity of systems and business processes, we intend to exclude Eastern Valve from our assessment and report on internal control over financial reporting for the year ending December 31, 2026. Other than the Eastern Valve Transaction, there were no changes in our internal control over financial reporting, as defined in Rules 13a-15(f) and 15d-15(f) of the Exchange Act, during the quarter ended March 31, 2026 that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not applicable and have been omitted from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legal proceedings that have arisen in the ordinary course of business. While the Company is unable to predict the outcome of these lawsuits with certainty, it currently believes that the ultimate resolution will not have, either individually or in the aggregate, a material adverse effect on the Company’s business, consolidated financial position, cash flows,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the “Risk Factors” section 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make any unregistered sales of its equity securities during the three months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previously authorized a stock repurchase program that permits the Company to repurchase DSG common stock from time to time in open market transactions, privately negotiated transactions or by other methods. The stock repurchase program does not have an expiration date. There were no repurchases of any shares of DSG common stock during the three months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under the Exchange Act) adopted or terminated a “Rule 10b5-1 trading arrangement” or a “non-Rule 10b5-1 trading arrangement” (as such terms are defined under Item 408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p>
      <w:pPr>
        <w:ind w:left="28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31" w:lineRule="exact"/>
        <w:rPr>
          <w:sz w:val="20"/>
          <w:szCs w:val="20"/>
          <w:color w:val="auto"/>
        </w:rPr>
      </w:pPr>
    </w:p>
    <w:p>
      <w:pPr>
        <w:ind w:left="1260" w:right="120" w:hanging="750"/>
        <w:spacing w:after="0" w:line="234" w:lineRule="auto"/>
        <w:tabs>
          <w:tab w:leader="none" w:pos="1240" w:val="left"/>
        </w:tabs>
        <w:rPr>
          <w:rFonts w:ascii="Times New Roman" w:cs="Times New Roman" w:eastAsia="Times New Roman" w:hAnsi="Times New Roman"/>
          <w:sz w:val="18"/>
          <w:szCs w:val="18"/>
          <w:u w:val="single" w:color="auto"/>
          <w:color w:val="0E32E1"/>
        </w:rPr>
      </w:pPr>
      <w:hyperlink r:id="rId54">
        <w:r>
          <w:rPr>
            <w:rFonts w:ascii="Times New Roman" w:cs="Times New Roman" w:eastAsia="Times New Roman" w:hAnsi="Times New Roman"/>
            <w:sz w:val="18"/>
            <w:szCs w:val="18"/>
            <w:u w:val="single" w:color="auto"/>
            <w:color w:val="0E32E1"/>
          </w:rPr>
          <w:t>3.1</w:t>
        </w:r>
      </w:hyperlink>
      <w:r>
        <w:rPr>
          <w:rFonts w:ascii="Times New Roman" w:cs="Times New Roman" w:eastAsia="Times New Roman" w:hAnsi="Times New Roman"/>
          <w:sz w:val="18"/>
          <w:szCs w:val="18"/>
          <w:u w:val="single" w:color="auto"/>
          <w:color w:val="0E32E1"/>
        </w:rPr>
        <w:tab/>
      </w:r>
      <w:hyperlink r:id="rId54">
        <w:r>
          <w:rPr>
            <w:rFonts w:ascii="Times New Roman" w:cs="Times New Roman" w:eastAsia="Times New Roman" w:hAnsi="Times New Roman"/>
            <w:sz w:val="18"/>
            <w:szCs w:val="18"/>
            <w:u w:val="single" w:color="auto"/>
            <w:color w:val="0E32E1"/>
          </w:rPr>
          <w:t>Third Amended and Restated Certificate of Incorporation of the Company, effective as of August 31, 2023, incorporated by reference to</w:t>
        </w:r>
      </w:hyperlink>
      <w:r>
        <w:rPr>
          <w:rFonts w:ascii="Times New Roman" w:cs="Times New Roman" w:eastAsia="Times New Roman" w:hAnsi="Times New Roman"/>
          <w:sz w:val="18"/>
          <w:szCs w:val="18"/>
          <w:u w:val="single" w:color="auto"/>
          <w:color w:val="0E32E1"/>
        </w:rPr>
        <w:t xml:space="preserve"> </w:t>
      </w:r>
      <w:hyperlink r:id="rId54">
        <w:r>
          <w:rPr>
            <w:rFonts w:ascii="Times New Roman" w:cs="Times New Roman" w:eastAsia="Times New Roman" w:hAnsi="Times New Roman"/>
            <w:sz w:val="18"/>
            <w:szCs w:val="18"/>
            <w:u w:val="single" w:color="auto"/>
            <w:color w:val="0E32E1"/>
          </w:rPr>
          <w:t>Exhibit 3.1 to the Company’s Current Report on Form 8-K (File No. 000-10546) filed on September 1, 2023.</w:t>
        </w:r>
      </w:hyperlink>
    </w:p>
    <w:p>
      <w:pPr>
        <w:spacing w:after="0" w:line="10" w:lineRule="exact"/>
        <w:rPr>
          <w:rFonts w:ascii="Times New Roman" w:cs="Times New Roman" w:eastAsia="Times New Roman" w:hAnsi="Times New Roman"/>
          <w:sz w:val="18"/>
          <w:szCs w:val="18"/>
          <w:u w:val="single" w:color="auto"/>
          <w:color w:val="0E32E1"/>
        </w:rPr>
      </w:pPr>
    </w:p>
    <w:p>
      <w:pPr>
        <w:ind w:left="1260" w:right="120" w:hanging="750"/>
        <w:spacing w:after="0" w:line="237" w:lineRule="auto"/>
        <w:tabs>
          <w:tab w:leader="none" w:pos="1240" w:val="left"/>
        </w:tabs>
        <w:rPr>
          <w:rFonts w:ascii="Times New Roman" w:cs="Times New Roman" w:eastAsia="Times New Roman" w:hAnsi="Times New Roman"/>
          <w:sz w:val="18"/>
          <w:szCs w:val="18"/>
          <w:u w:val="single" w:color="auto"/>
          <w:color w:val="0E32E1"/>
        </w:rPr>
      </w:pPr>
      <w:hyperlink r:id="rId55">
        <w:r>
          <w:rPr>
            <w:rFonts w:ascii="Times New Roman" w:cs="Times New Roman" w:eastAsia="Times New Roman" w:hAnsi="Times New Roman"/>
            <w:sz w:val="18"/>
            <w:szCs w:val="18"/>
            <w:u w:val="single" w:color="auto"/>
            <w:color w:val="0E32E1"/>
          </w:rPr>
          <w:t>3.2</w:t>
        </w:r>
      </w:hyperlink>
      <w:r>
        <w:rPr>
          <w:rFonts w:ascii="Times New Roman" w:cs="Times New Roman" w:eastAsia="Times New Roman" w:hAnsi="Times New Roman"/>
          <w:sz w:val="18"/>
          <w:szCs w:val="18"/>
          <w:u w:val="single" w:color="auto"/>
          <w:color w:val="0E32E1"/>
        </w:rPr>
        <w:tab/>
      </w:r>
      <w:hyperlink r:id="rId55">
        <w:r>
          <w:rPr>
            <w:rFonts w:ascii="Times New Roman" w:cs="Times New Roman" w:eastAsia="Times New Roman" w:hAnsi="Times New Roman"/>
            <w:sz w:val="18"/>
            <w:szCs w:val="18"/>
            <w:u w:val="single" w:color="auto"/>
            <w:color w:val="0E32E1"/>
          </w:rPr>
          <w:t>Amended and Restated By-Laws of the Company effective as of May 5, 2022, incorporated by reference to Exhibit 3.2 to the</w:t>
        </w:r>
      </w:hyperlink>
      <w:r>
        <w:rPr>
          <w:rFonts w:ascii="Times New Roman" w:cs="Times New Roman" w:eastAsia="Times New Roman" w:hAnsi="Times New Roman"/>
          <w:sz w:val="18"/>
          <w:szCs w:val="18"/>
          <w:u w:val="single" w:color="auto"/>
          <w:color w:val="0E32E1"/>
        </w:rPr>
        <w:t xml:space="preserve"> </w:t>
      </w:r>
      <w:hyperlink r:id="rId55">
        <w:r>
          <w:rPr>
            <w:rFonts w:ascii="Times New Roman" w:cs="Times New Roman" w:eastAsia="Times New Roman" w:hAnsi="Times New Roman"/>
            <w:sz w:val="18"/>
            <w:szCs w:val="18"/>
            <w:u w:val="single" w:color="auto"/>
            <w:color w:val="0E32E1"/>
          </w:rPr>
          <w:t>Company’s Current Report on Form 8-K (File No. 000-10546) filed on May 5, 2022.</w:t>
        </w:r>
      </w:hyperlink>
    </w:p>
    <w:p>
      <w:pPr>
        <w:spacing w:after="0" w:line="10" w:lineRule="exact"/>
        <w:rPr>
          <w:rFonts w:ascii="Times New Roman" w:cs="Times New Roman" w:eastAsia="Times New Roman" w:hAnsi="Times New Roman"/>
          <w:sz w:val="18"/>
          <w:szCs w:val="18"/>
          <w:u w:val="single" w:color="auto"/>
          <w:color w:val="0E32E1"/>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E32E1"/>
        </w:rPr>
        <w:t>31.1*</w:t>
      </w:r>
      <w:r>
        <w:rPr>
          <w:sz w:val="20"/>
          <w:szCs w:val="20"/>
          <w:color w:val="auto"/>
        </w:rPr>
        <w:tab/>
      </w:r>
      <w:r>
        <w:rPr>
          <w:rFonts w:ascii="Times New Roman" w:cs="Times New Roman" w:eastAsia="Times New Roman" w:hAnsi="Times New Roman"/>
          <w:sz w:val="17"/>
          <w:szCs w:val="17"/>
          <w:u w:val="single" w:color="auto"/>
          <w:color w:val="0E32E1"/>
        </w:rPr>
        <w:t>Certification of Chief Executive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E32E1"/>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E32E1"/>
        </w:rPr>
        <w:t>31.2*</w:t>
      </w:r>
      <w:r>
        <w:rPr>
          <w:sz w:val="20"/>
          <w:szCs w:val="20"/>
          <w:color w:val="auto"/>
        </w:rPr>
        <w:tab/>
      </w:r>
      <w:r>
        <w:rPr>
          <w:rFonts w:ascii="Times New Roman" w:cs="Times New Roman" w:eastAsia="Times New Roman" w:hAnsi="Times New Roman"/>
          <w:sz w:val="18"/>
          <w:szCs w:val="18"/>
          <w:u w:val="single" w:color="auto"/>
          <w:color w:val="0E32E1"/>
        </w:rPr>
        <w:t>Certification of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E32E1"/>
        </w:rPr>
      </w:pPr>
    </w:p>
    <w:p>
      <w:pPr>
        <w:ind w:left="1260" w:right="120" w:hanging="819"/>
        <w:spacing w:after="0" w:line="234"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E32E1"/>
        </w:rPr>
        <w:t>32**</w:t>
      </w:r>
      <w:r>
        <w:rPr>
          <w:sz w:val="20"/>
          <w:szCs w:val="20"/>
          <w:color w:val="auto"/>
        </w:rPr>
        <w:tab/>
      </w:r>
      <w:r>
        <w:rPr>
          <w:rFonts w:ascii="Times New Roman" w:cs="Times New Roman" w:eastAsia="Times New Roman" w:hAnsi="Times New Roman"/>
          <w:sz w:val="18"/>
          <w:szCs w:val="18"/>
          <w:u w:val="single" w:color="auto"/>
          <w:color w:val="0E32E1"/>
        </w:rPr>
        <w:t>Certification of Chief Executive Officer and Chief Financial Officer pursuant to 18 U.S.C. Section 1350 as adopted pursuant to Section 906 of the Sarbanes-Oxley Act of 2002</w:t>
      </w:r>
    </w:p>
    <w:p>
      <w:pPr>
        <w:spacing w:after="0" w:line="10" w:lineRule="exact"/>
        <w:rPr>
          <w:rFonts w:ascii="Times New Roman" w:cs="Times New Roman" w:eastAsia="Times New Roman" w:hAnsi="Times New Roman"/>
          <w:sz w:val="18"/>
          <w:szCs w:val="18"/>
          <w:u w:val="single" w:color="auto"/>
          <w:color w:val="0E32E1"/>
        </w:rPr>
      </w:pPr>
    </w:p>
    <w:p>
      <w:pPr>
        <w:jc w:val="both"/>
        <w:ind w:left="1260" w:right="120" w:hanging="766"/>
        <w:spacing w:after="0" w:line="216"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Quarterly Report on Form 10-Q for the quarter ended March 31, 2026, formatted in Inline XBRL: (i) Condensed Consolidated Balance Sheets, (ii) Condensed Consolidated Statement of Operations and Comprehensive Income (Loss), (iii) Condensed Consolidated Statements of Stockholders’ Equity, (iv) Condensed Consolidated Statements of Cash Flows, and</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Notes to Condensed Consolidated Financial Statements.</w:t>
      </w:r>
    </w:p>
    <w:tbl>
      <w:tblPr>
        <w:tblLayout w:type="fixed"/>
        <w:tblInd w:w="240" w:type="dxa"/>
        <w:tblCellMar>
          <w:top w:w="0" w:type="dxa"/>
          <w:left w:w="0" w:type="dxa"/>
          <w:bottom w:w="0" w:type="dxa"/>
          <w:right w:w="0" w:type="dxa"/>
        </w:tblCellMar>
      </w:tblPr>
      <w:tr>
        <w:trPr>
          <w:trHeight w:val="183"/>
        </w:trPr>
        <w:tc>
          <w:tcPr>
            <w:tcW w:w="900" w:type="dxa"/>
            <w:vAlign w:val="bottom"/>
          </w:tcPr>
          <w:p>
            <w:pPr>
              <w:jc w:val="center"/>
              <w:ind w:right="30"/>
              <w:spacing w:after="0" w:line="183" w:lineRule="exact"/>
              <w:rPr>
                <w:sz w:val="20"/>
                <w:szCs w:val="20"/>
                <w:color w:val="auto"/>
              </w:rPr>
            </w:pPr>
            <w:r>
              <w:rPr>
                <w:rFonts w:ascii="Times New Roman" w:cs="Times New Roman" w:eastAsia="Times New Roman" w:hAnsi="Times New Roman"/>
                <w:sz w:val="18"/>
                <w:szCs w:val="18"/>
                <w:color w:val="auto"/>
              </w:rPr>
              <w:t>101.INS</w:t>
            </w:r>
          </w:p>
        </w:tc>
        <w:tc>
          <w:tcPr>
            <w:tcW w:w="9980" w:type="dxa"/>
            <w:vAlign w:val="bottom"/>
          </w:tcPr>
          <w:p>
            <w:pPr>
              <w:ind w:left="120"/>
              <w:spacing w:after="0" w:line="183"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900" w:type="dxa"/>
            <w:vAlign w:val="bottom"/>
          </w:tcPr>
          <w:p>
            <w:pPr>
              <w:spacing w:after="0"/>
              <w:rPr>
                <w:sz w:val="20"/>
                <w:szCs w:val="20"/>
                <w:color w:val="auto"/>
              </w:rPr>
            </w:pP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101.SCH*</w:t>
            </w: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101.DEF*</w:t>
            </w: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60" w:right="120" w:hanging="766"/>
        <w:spacing w:after="0" w:line="234" w:lineRule="auto"/>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Quarterly Report on Form 10-Q for the quarter ended March 31, 2026, formatted in Inline XBRL and contained in Exhibit 101</w:t>
      </w:r>
    </w:p>
    <w:p>
      <w:pPr>
        <w:spacing w:after="0" w:line="1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6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rFonts w:ascii="Times New Roman" w:cs="Times New Roman" w:eastAsia="Times New Roman" w:hAnsi="Times New Roman"/>
          <w:sz w:val="18"/>
          <w:szCs w:val="18"/>
          <w:u w:val="single" w:color="auto"/>
          <w:color w:val="0E32E1"/>
        </w:rPr>
      </w:pPr>
    </w:p>
    <w:p>
      <w:pPr>
        <w:spacing w:after="0" w:line="200" w:lineRule="exact"/>
        <w:rPr>
          <w:rFonts w:ascii="Times New Roman" w:cs="Times New Roman" w:eastAsia="Times New Roman" w:hAnsi="Times New Roman"/>
          <w:sz w:val="18"/>
          <w:szCs w:val="18"/>
          <w:u w:val="single" w:color="auto"/>
          <w:color w:val="0E32E1"/>
        </w:rPr>
      </w:pPr>
    </w:p>
    <w:p>
      <w:pPr>
        <w:spacing w:after="0" w:line="200" w:lineRule="exact"/>
        <w:rPr>
          <w:rFonts w:ascii="Times New Roman" w:cs="Times New Roman" w:eastAsia="Times New Roman" w:hAnsi="Times New Roman"/>
          <w:sz w:val="18"/>
          <w:szCs w:val="18"/>
          <w:u w:val="single" w:color="auto"/>
          <w:color w:val="0E32E1"/>
        </w:rPr>
      </w:pPr>
    </w:p>
    <w:p>
      <w:pPr>
        <w:spacing w:after="0" w:line="206" w:lineRule="exact"/>
        <w:rPr>
          <w:rFonts w:ascii="Times New Roman" w:cs="Times New Roman" w:eastAsia="Times New Roman" w:hAnsi="Times New Roman"/>
          <w:sz w:val="18"/>
          <w:szCs w:val="18"/>
          <w:u w:val="single" w:color="auto"/>
          <w:color w:val="0E32E1"/>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rFonts w:ascii="Times New Roman" w:cs="Times New Roman" w:eastAsia="Times New Roman" w:hAnsi="Times New Roman"/>
          <w:sz w:val="18"/>
          <w:szCs w:val="18"/>
          <w:u w:val="single" w:color="auto"/>
          <w:color w:val="0E32E1"/>
        </w:rPr>
      </w:pPr>
      <w:r>
        <w:rPr>
          <w:rFonts w:ascii="Times New Roman" w:cs="Times New Roman" w:eastAsia="Times New Roman" w:hAnsi="Times New Roman"/>
          <w:sz w:val="18"/>
          <w:szCs w:val="18"/>
          <w:u w:val="single" w:color="auto"/>
          <w:color w:val="0E32E1"/>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2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50" w:lineRule="exact"/>
        <w:rPr>
          <w:sz w:val="20"/>
          <w:szCs w:val="20"/>
          <w:color w:val="auto"/>
        </w:rPr>
      </w:pPr>
    </w:p>
    <w:p>
      <w:pPr>
        <w:ind w:left="400"/>
        <w:spacing w:after="0"/>
        <w:tabs>
          <w:tab w:leader="none" w:pos="1080" w:val="left"/>
          <w:tab w:leader="none" w:pos="6220" w:val="left"/>
        </w:tabs>
        <w:rPr>
          <w:sz w:val="20"/>
          <w:szCs w:val="20"/>
          <w:color w:val="auto"/>
        </w:rPr>
      </w:pPr>
      <w:r>
        <w:rPr>
          <w:rFonts w:ascii="Times New Roman" w:cs="Times New Roman" w:eastAsia="Times New Roman" w:hAnsi="Times New Roman"/>
          <w:sz w:val="18"/>
          <w:szCs w:val="18"/>
          <w:color w:val="auto"/>
        </w:rPr>
        <w:t>Dated:</w:t>
        <w:tab/>
        <w:t>April 30, 2026</w:t>
      </w:r>
      <w:r>
        <w:rPr>
          <w:sz w:val="20"/>
          <w:szCs w:val="20"/>
          <w:color w:val="auto"/>
        </w:rPr>
        <w:tab/>
      </w:r>
      <w:r>
        <w:rPr>
          <w:rFonts w:ascii="Times New Roman" w:cs="Times New Roman" w:eastAsia="Times New Roman" w:hAnsi="Times New Roman"/>
          <w:sz w:val="17"/>
          <w:szCs w:val="17"/>
          <w:color w:val="auto"/>
        </w:rPr>
        <w:t>/s/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375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 Bryan King</w:t>
      </w:r>
    </w:p>
    <w:p>
      <w:pPr>
        <w:ind w:left="6240"/>
        <w:spacing w:after="0" w:line="219" w:lineRule="auto"/>
        <w:rPr>
          <w:sz w:val="20"/>
          <w:szCs w:val="20"/>
          <w:color w:val="auto"/>
        </w:rPr>
      </w:pPr>
      <w:r>
        <w:rPr>
          <w:rFonts w:ascii="Times New Roman" w:cs="Times New Roman" w:eastAsia="Times New Roman" w:hAnsi="Times New Roman"/>
          <w:sz w:val="18"/>
          <w:szCs w:val="18"/>
          <w:color w:val="auto"/>
        </w:rPr>
        <w:t>Chairman, President and Chief Executive Officer</w:t>
      </w: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89" w:lineRule="exact"/>
        <w:rPr>
          <w:sz w:val="20"/>
          <w:szCs w:val="20"/>
          <w:color w:val="auto"/>
        </w:rPr>
      </w:pPr>
    </w:p>
    <w:p>
      <w:pPr>
        <w:ind w:left="400"/>
        <w:spacing w:after="0"/>
        <w:tabs>
          <w:tab w:leader="none" w:pos="1080" w:val="left"/>
          <w:tab w:leader="none" w:pos="6220" w:val="left"/>
        </w:tabs>
        <w:rPr>
          <w:sz w:val="20"/>
          <w:szCs w:val="20"/>
          <w:color w:val="auto"/>
        </w:rPr>
      </w:pPr>
      <w:r>
        <w:rPr>
          <w:rFonts w:ascii="Times New Roman" w:cs="Times New Roman" w:eastAsia="Times New Roman" w:hAnsi="Times New Roman"/>
          <w:sz w:val="18"/>
          <w:szCs w:val="18"/>
          <w:color w:val="auto"/>
        </w:rPr>
        <w:t>Dated:</w:t>
        <w:tab/>
        <w:t>April 30, 2026</w:t>
      </w:r>
      <w:r>
        <w:rPr>
          <w:sz w:val="20"/>
          <w:szCs w:val="20"/>
          <w:color w:val="auto"/>
        </w:rPr>
        <w:tab/>
      </w:r>
      <w:r>
        <w:rPr>
          <w:rFonts w:ascii="Times New Roman" w:cs="Times New Roman" w:eastAsia="Times New Roman" w:hAnsi="Times New Roman"/>
          <w:sz w:val="17"/>
          <w:szCs w:val="17"/>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37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Ronald J. Knutson</w:t>
      </w:r>
    </w:p>
    <w:p>
      <w:pPr>
        <w:ind w:left="624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89" w:lineRule="exact"/>
        <w:rPr>
          <w:sz w:val="20"/>
          <w:szCs w:val="20"/>
          <w:color w:val="auto"/>
        </w:rPr>
      </w:pPr>
    </w:p>
    <w:p>
      <w:pPr>
        <w:ind w:left="400"/>
        <w:spacing w:after="0"/>
        <w:tabs>
          <w:tab w:leader="none" w:pos="1080" w:val="left"/>
          <w:tab w:leader="none" w:pos="6220" w:val="left"/>
        </w:tabs>
        <w:rPr>
          <w:sz w:val="20"/>
          <w:szCs w:val="20"/>
          <w:color w:val="auto"/>
        </w:rPr>
      </w:pPr>
      <w:r>
        <w:rPr>
          <w:rFonts w:ascii="Times New Roman" w:cs="Times New Roman" w:eastAsia="Times New Roman" w:hAnsi="Times New Roman"/>
          <w:sz w:val="18"/>
          <w:szCs w:val="18"/>
          <w:color w:val="auto"/>
        </w:rPr>
        <w:t>Dated:</w:t>
        <w:tab/>
        <w:t>April 30, 2026</w:t>
      </w:r>
      <w:r>
        <w:rPr>
          <w:sz w:val="20"/>
          <w:szCs w:val="20"/>
          <w:color w:val="auto"/>
        </w:rPr>
        <w:tab/>
      </w:r>
      <w:r>
        <w:rPr>
          <w:rFonts w:ascii="Times New Roman" w:cs="Times New Roman" w:eastAsia="Times New Roman" w:hAnsi="Times New Roman"/>
          <w:sz w:val="17"/>
          <w:szCs w:val="17"/>
          <w:color w:val="auto"/>
        </w:rPr>
        <w:t>/s/ David S.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375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David S. Lambert</w:t>
      </w:r>
    </w:p>
    <w:p>
      <w:pPr>
        <w:ind w:left="6240"/>
        <w:spacing w:after="0" w:line="219" w:lineRule="auto"/>
        <w:rPr>
          <w:sz w:val="20"/>
          <w:szCs w:val="20"/>
          <w:color w:val="auto"/>
        </w:rPr>
      </w:pPr>
      <w:r>
        <w:rPr>
          <w:rFonts w:ascii="Times New Roman" w:cs="Times New Roman" w:eastAsia="Times New Roman" w:hAnsi="Times New Roman"/>
          <w:sz w:val="18"/>
          <w:szCs w:val="18"/>
          <w:color w:val="auto"/>
        </w:rPr>
        <w:t>Vice President, Controller and Chief Accounting Officer</w:t>
      </w:r>
    </w:p>
    <w:p>
      <w:pPr>
        <w:ind w:left="6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Bryan King, certify that:</w:t>
      </w:r>
    </w:p>
    <w:p>
      <w:pPr>
        <w:spacing w:after="0" w:line="234"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Distribution Solutions Group, Inc. (the “registrant”);</w:t>
      </w:r>
    </w:p>
    <w:p>
      <w:pPr>
        <w:spacing w:after="0" w:line="252"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500" w:right="20" w:hanging="330"/>
        <w:spacing w:after="0" w:line="266" w:lineRule="auto"/>
        <w:tabs>
          <w:tab w:leader="none" w:pos="5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500" w:right="220" w:hanging="330"/>
        <w:spacing w:after="0" w:line="266" w:lineRule="auto"/>
        <w:tabs>
          <w:tab w:leader="none" w:pos="56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330"/>
        <w:spacing w:after="0" w:line="282" w:lineRule="auto"/>
        <w:tabs>
          <w:tab w:leader="none" w:pos="5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500" w:right="40" w:hanging="330"/>
        <w:spacing w:after="0" w:line="266" w:lineRule="auto"/>
        <w:tabs>
          <w:tab w:leader="none" w:pos="56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right="440" w:hanging="330"/>
        <w:spacing w:after="0" w:line="282" w:lineRule="auto"/>
        <w:tabs>
          <w:tab w:leader="none" w:pos="4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right="340" w:hanging="330"/>
        <w:spacing w:after="0" w:line="282" w:lineRule="auto"/>
        <w:tabs>
          <w:tab w:leader="none" w:pos="5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J. Bryan King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Bryan King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J. Knutson, certify that:</w:t>
      </w:r>
    </w:p>
    <w:p>
      <w:pPr>
        <w:spacing w:after="0" w:line="17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Distribution Solutions Group,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hanging="328"/>
        <w:spacing w:after="0" w:line="266" w:lineRule="auto"/>
        <w:tabs>
          <w:tab w:leader="none" w:pos="7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three months (the registrant’s fourth fiscal three months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7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 Ronald J. Knutson</w:t>
      </w:r>
    </w:p>
    <w:p>
      <w:pPr>
        <w:spacing w:after="0" w:line="11"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color w:val="auto"/>
        </w:rPr>
        <w:t>Ronald</w:t>
      </w:r>
      <w:r>
        <w:rPr>
          <w:sz w:val="20"/>
          <w:szCs w:val="20"/>
          <w:color w:val="auto"/>
        </w:rPr>
        <w:tab/>
      </w:r>
      <w:r>
        <w:rPr>
          <w:rFonts w:ascii="Times New Roman" w:cs="Times New Roman" w:eastAsia="Times New Roman" w:hAnsi="Times New Roman"/>
          <w:sz w:val="18"/>
          <w:szCs w:val="18"/>
          <w:color w:val="auto"/>
        </w:rPr>
        <w:t>J.</w:t>
      </w:r>
    </w:p>
    <w:p>
      <w:pPr>
        <w:ind w:left="100"/>
        <w:spacing w:after="0"/>
        <w:rPr>
          <w:sz w:val="20"/>
          <w:szCs w:val="20"/>
          <w:color w:val="auto"/>
        </w:rPr>
      </w:pPr>
      <w:r>
        <w:rPr>
          <w:rFonts w:ascii="Times New Roman" w:cs="Times New Roman" w:eastAsia="Times New Roman" w:hAnsi="Times New Roman"/>
          <w:sz w:val="18"/>
          <w:szCs w:val="18"/>
          <w:color w:val="auto"/>
        </w:rPr>
        <w:t>Knutson</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p>
      <w:pPr>
        <w:ind w:left="100"/>
        <w:spacing w:after="0" w:line="219" w:lineRule="auto"/>
        <w:rPr>
          <w:sz w:val="20"/>
          <w:szCs w:val="20"/>
          <w:color w:val="auto"/>
        </w:rPr>
      </w:pPr>
      <w:r>
        <w:rPr>
          <w:rFonts w:ascii="Times New Roman" w:cs="Times New Roman" w:eastAsia="Times New Roman" w:hAnsi="Times New Roman"/>
          <w:sz w:val="18"/>
          <w:szCs w:val="18"/>
          <w:color w:val="auto"/>
        </w:rPr>
        <w:t>Chief Financial Officer and</w:t>
      </w:r>
    </w:p>
    <w:p>
      <w:pPr>
        <w:ind w:left="100"/>
        <w:spacing w:after="0"/>
        <w:rPr>
          <w:sz w:val="20"/>
          <w:szCs w:val="20"/>
          <w:color w:val="auto"/>
        </w:rPr>
      </w:pPr>
      <w:r>
        <w:rPr>
          <w:rFonts w:ascii="Times New Roman" w:cs="Times New Roman" w:eastAsia="Times New Roman" w:hAnsi="Times New Roman"/>
          <w:sz w:val="18"/>
          <w:szCs w:val="18"/>
          <w:color w:val="auto"/>
        </w:rPr>
        <w:t>Treasurer</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Distribution Solutions Group, Inc. (the “Company”) on Form 10-Q for the period ending March 31, 2026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207"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 Bryan 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Bryan 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Ronald J. Knutson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J. Knutson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Solutions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
      <w:numFmt w:val="bullet"/>
      <w:start w:val="1"/>
    </w:lvl>
    <w:lvl w:ilvl="1">
      <w:lvlJc w:val="left"/>
      <w:lvlText w:val="%2"/>
      <w:numFmt w:val="decimal"/>
      <w:start w:val="104"/>
    </w:lvl>
  </w:abstractNum>
  <w:abstractNum w:abstractNumId="18">
    <w:nsid w:val="436C6125"/>
    <w:multiLevelType w:val="hybridMultilevel"/>
    <w:lvl w:ilvl="0">
      <w:lvlJc w:val="left"/>
      <w:lvlText w:val="**"/>
      <w:numFmt w:val="bullet"/>
      <w:start w:val="1"/>
    </w:lvl>
    <w:lvl w:ilvl="1">
      <w:lvlJc w:val="left"/>
      <w:lvlText w:val="%2"/>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4" Type="http://schemas.openxmlformats.org/officeDocument/2006/relationships/hyperlink" Target="https://www.sec.gov/Archives/edgar/data/703604/000119312523226464/d545675dex31.htm" TargetMode="External"/><Relationship Id="rId55" Type="http://schemas.openxmlformats.org/officeDocument/2006/relationships/hyperlink" Target="https://www.sec.gov/Archives/edgar/data/703604/000119312522142321/d34996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2026-04-30T06:46:06Z</dcterms:created>
  <dcterms:modified xsi:type="dcterms:W3CDTF">2026-04-30T06:46:06Z</dcterms:modified>
</cp:coreProperties>
</file>